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Theme="minorEastAsia" w:hAnsiTheme="minorEastAsia" w:eastAsiaTheme="minorEastAsia"/>
          <w:b/>
          <w:sz w:val="24"/>
        </w:rPr>
      </w:pPr>
      <w:r>
        <w:rPr>
          <w:rFonts w:hint="eastAsia" w:asciiTheme="minorEastAsia" w:hAnsiTheme="minorEastAsia" w:eastAsiaTheme="minorEastAsia"/>
          <w:b/>
          <w:sz w:val="24"/>
        </w:rPr>
        <w:t>融捷股份有限公司内部控制评价管理制度</w:t>
      </w:r>
    </w:p>
    <w:p>
      <w:pPr>
        <w:spacing w:line="300" w:lineRule="auto"/>
        <w:jc w:val="center"/>
        <w:rPr>
          <w:rFonts w:hint="eastAsia" w:asciiTheme="minorEastAsia" w:hAnsiTheme="minorEastAsia" w:eastAsiaTheme="minorEastAsia"/>
          <w:b/>
          <w:sz w:val="24"/>
        </w:rPr>
      </w:pPr>
    </w:p>
    <w:p>
      <w:pPr>
        <w:spacing w:line="300" w:lineRule="auto"/>
        <w:ind w:firstLine="482" w:firstLineChars="200"/>
        <w:jc w:val="center"/>
        <w:rPr>
          <w:rFonts w:asciiTheme="minorEastAsia" w:hAnsiTheme="minorEastAsia" w:eastAsiaTheme="minorEastAsia"/>
          <w:b/>
          <w:sz w:val="24"/>
        </w:rPr>
      </w:pPr>
      <w:r>
        <w:rPr>
          <w:rFonts w:hint="eastAsia" w:asciiTheme="minorEastAsia" w:hAnsiTheme="minorEastAsia" w:eastAsiaTheme="minorEastAsia"/>
          <w:b/>
          <w:sz w:val="24"/>
        </w:rPr>
        <w:t>第一章 总则</w:t>
      </w:r>
    </w:p>
    <w:p>
      <w:pPr>
        <w:spacing w:line="300" w:lineRule="auto"/>
        <w:rPr>
          <w:rFonts w:asciiTheme="minorEastAsia" w:hAnsiTheme="minorEastAsia" w:eastAsiaTheme="minorEastAsia"/>
          <w:sz w:val="24"/>
        </w:rPr>
      </w:pPr>
    </w:p>
    <w:p>
      <w:pPr>
        <w:spacing w:line="30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第一条 为规范融捷股份有限公司（以下简称“公司</w:t>
      </w:r>
      <w:r>
        <w:rPr>
          <w:rFonts w:asciiTheme="minorEastAsia" w:hAnsiTheme="minorEastAsia" w:eastAsiaTheme="minorEastAsia"/>
          <w:sz w:val="24"/>
        </w:rPr>
        <w:t>”</w:t>
      </w:r>
      <w:r>
        <w:rPr>
          <w:rFonts w:hint="eastAsia" w:asciiTheme="minorEastAsia" w:hAnsiTheme="minorEastAsia" w:eastAsiaTheme="minorEastAsia"/>
          <w:sz w:val="24"/>
        </w:rPr>
        <w:t>）及下属子公司的内部控制评价工作，强化内部控制意识，建立健全内部控制机制，确保内部控制体系有效运行，根据《企业内部控制基本规范》、《内部控制评价指引》、《深圳证券交易所上市公司规范运作指引》等相关规范指引，结合公司实际情况，制定本制度。</w:t>
      </w:r>
    </w:p>
    <w:p>
      <w:pPr>
        <w:pStyle w:val="11"/>
        <w:spacing w:before="0" w:after="0" w:line="300" w:lineRule="auto"/>
        <w:ind w:left="2" w:leftChars="0" w:right="174" w:rightChars="83" w:firstLine="480" w:firstLineChars="200"/>
        <w:rPr>
          <w:rFonts w:asciiTheme="minorEastAsia" w:hAnsiTheme="minorEastAsia" w:eastAsiaTheme="minorEastAsia"/>
          <w:szCs w:val="24"/>
        </w:rPr>
      </w:pPr>
      <w:r>
        <w:rPr>
          <w:rFonts w:hint="eastAsia" w:asciiTheme="minorEastAsia" w:hAnsiTheme="minorEastAsia" w:eastAsiaTheme="minorEastAsia"/>
          <w:szCs w:val="24"/>
        </w:rPr>
        <w:t>第二条</w:t>
      </w:r>
      <w:r>
        <w:rPr>
          <w:rFonts w:asciiTheme="minorEastAsia" w:hAnsiTheme="minorEastAsia" w:eastAsiaTheme="minorEastAsia"/>
          <w:szCs w:val="24"/>
        </w:rPr>
        <w:t xml:space="preserve"> </w:t>
      </w:r>
      <w:r>
        <w:rPr>
          <w:rFonts w:hint="eastAsia" w:asciiTheme="minorEastAsia" w:hAnsiTheme="minorEastAsia" w:eastAsiaTheme="minorEastAsia"/>
          <w:szCs w:val="24"/>
        </w:rPr>
        <w:t>本制度所称内部控制是指由企业董事会、监事会、经理层和全体员工实施的、旨在实现控制目标的过程。内部控制的目标是合理保证企业经营管理合法合规、资产安全、财务报告及相关信息真实完整，提高经营效率和效果，促进企业实现发展战略。</w:t>
      </w:r>
    </w:p>
    <w:p>
      <w:pPr>
        <w:pStyle w:val="11"/>
        <w:spacing w:before="0" w:after="0" w:line="300" w:lineRule="auto"/>
        <w:ind w:left="2" w:leftChars="0" w:right="174" w:rightChars="83" w:firstLine="480" w:firstLineChars="200"/>
        <w:rPr>
          <w:rFonts w:asciiTheme="minorEastAsia" w:hAnsiTheme="minorEastAsia" w:eastAsiaTheme="minorEastAsia"/>
          <w:szCs w:val="24"/>
        </w:rPr>
      </w:pPr>
      <w:r>
        <w:rPr>
          <w:rFonts w:hint="eastAsia" w:asciiTheme="minorEastAsia" w:hAnsiTheme="minorEastAsia" w:eastAsiaTheme="minorEastAsia"/>
          <w:szCs w:val="24"/>
        </w:rPr>
        <w:t>内部控制评价是指由公司董事会对公司内部控制的有效性进行全面评价、形成评价结论、出具评价报告的过程。</w:t>
      </w:r>
    </w:p>
    <w:p>
      <w:pPr>
        <w:pStyle w:val="11"/>
        <w:spacing w:before="0" w:after="0" w:line="300" w:lineRule="auto"/>
        <w:ind w:left="2" w:leftChars="0" w:right="174" w:rightChars="83" w:firstLine="480" w:firstLineChars="200"/>
        <w:rPr>
          <w:rFonts w:asciiTheme="minorEastAsia" w:hAnsiTheme="minorEastAsia" w:eastAsiaTheme="minorEastAsia"/>
          <w:szCs w:val="24"/>
        </w:rPr>
      </w:pPr>
      <w:r>
        <w:rPr>
          <w:rFonts w:hint="eastAsia" w:asciiTheme="minorEastAsia" w:hAnsiTheme="minorEastAsia" w:eastAsiaTheme="minorEastAsia"/>
          <w:szCs w:val="24"/>
        </w:rPr>
        <w:t>内部控制控制有效性是指公司建立和实施内部控制，为实现控制目标提供合理保证的程度，包括内部控制设计有效性和内部控制运行有效性。</w:t>
      </w:r>
    </w:p>
    <w:p>
      <w:pPr>
        <w:pStyle w:val="11"/>
        <w:spacing w:before="0" w:after="0" w:line="300" w:lineRule="auto"/>
        <w:ind w:left="2" w:leftChars="0" w:right="174" w:rightChars="83" w:firstLine="480" w:firstLineChars="200"/>
        <w:rPr>
          <w:rFonts w:asciiTheme="minorEastAsia" w:hAnsiTheme="minorEastAsia" w:eastAsiaTheme="minorEastAsia"/>
          <w:szCs w:val="24"/>
        </w:rPr>
      </w:pPr>
      <w:r>
        <w:rPr>
          <w:rFonts w:hint="eastAsia" w:asciiTheme="minorEastAsia" w:hAnsiTheme="minorEastAsia" w:eastAsiaTheme="minorEastAsia"/>
          <w:szCs w:val="24"/>
        </w:rPr>
        <w:t>内部控制缺陷是指内部控制的设计或运行无法合理保证内部控制目标的实现的情形。</w:t>
      </w:r>
    </w:p>
    <w:p>
      <w:pPr>
        <w:pStyle w:val="11"/>
        <w:spacing w:before="0" w:after="0" w:line="300" w:lineRule="auto"/>
        <w:ind w:left="2" w:leftChars="0" w:right="174" w:rightChars="83" w:firstLine="480" w:firstLineChars="200"/>
        <w:rPr>
          <w:rFonts w:asciiTheme="minorEastAsia" w:hAnsiTheme="minorEastAsia" w:eastAsiaTheme="minorEastAsia"/>
          <w:szCs w:val="24"/>
        </w:rPr>
      </w:pPr>
      <w:r>
        <w:rPr>
          <w:rFonts w:hint="eastAsia" w:asciiTheme="minorEastAsia" w:hAnsiTheme="minorEastAsia" w:eastAsiaTheme="minorEastAsia"/>
          <w:szCs w:val="24"/>
        </w:rPr>
        <w:t>内部控制缺陷认定是指通过科学合理的方法和标准，对内部控制设计和运行中存在的问题进行分析和评价，确定内部控制缺陷的重要性和对控制目标的影响程度的过程。</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第三条　公司实施内部控制评价应当遵循下列原则：</w:t>
      </w:r>
    </w:p>
    <w:p>
      <w:pPr>
        <w:spacing w:line="300" w:lineRule="auto"/>
        <w:ind w:firstLine="480" w:firstLineChars="200"/>
        <w:rPr>
          <w:rFonts w:asciiTheme="minorEastAsia" w:hAnsiTheme="minorEastAsia" w:eastAsiaTheme="minorEastAsia"/>
          <w:sz w:val="24"/>
        </w:rPr>
      </w:pPr>
      <w:bookmarkStart w:id="0" w:name="_Toc217273318"/>
      <w:bookmarkStart w:id="1" w:name="_Toc170871225"/>
      <w:r>
        <w:rPr>
          <w:rFonts w:hint="eastAsia" w:asciiTheme="minorEastAsia" w:hAnsiTheme="minorEastAsia" w:eastAsiaTheme="minorEastAsia"/>
          <w:sz w:val="24"/>
        </w:rPr>
        <w:t>（一）全面性原则</w:t>
      </w:r>
      <w:bookmarkEnd w:id="0"/>
      <w:bookmarkEnd w:id="1"/>
      <w:r>
        <w:rPr>
          <w:rFonts w:hint="eastAsia" w:asciiTheme="minorEastAsia" w:hAnsiTheme="minorEastAsia" w:eastAsiaTheme="minorEastAsia"/>
          <w:sz w:val="24"/>
        </w:rPr>
        <w:t>　评价工作范围应当包括内部控制设计与运行，涵盖总部各职能部门、公司全资或控股子公司的各种业务和事项。</w:t>
      </w:r>
    </w:p>
    <w:p>
      <w:pPr>
        <w:spacing w:line="300" w:lineRule="auto"/>
        <w:ind w:firstLine="480" w:firstLineChars="200"/>
        <w:rPr>
          <w:rFonts w:asciiTheme="minorEastAsia" w:hAnsiTheme="minorEastAsia" w:eastAsiaTheme="minorEastAsia"/>
          <w:sz w:val="24"/>
        </w:rPr>
      </w:pPr>
      <w:bookmarkStart w:id="2" w:name="_Toc170871227"/>
      <w:bookmarkStart w:id="3" w:name="_Toc217273320"/>
      <w:r>
        <w:rPr>
          <w:rFonts w:hint="eastAsia" w:asciiTheme="minorEastAsia" w:hAnsiTheme="minorEastAsia" w:eastAsiaTheme="minorEastAsia"/>
          <w:sz w:val="24"/>
        </w:rPr>
        <w:t>（二）重要性原则</w:t>
      </w:r>
      <w:bookmarkEnd w:id="2"/>
      <w:bookmarkEnd w:id="3"/>
      <w:r>
        <w:rPr>
          <w:rFonts w:hint="eastAsia" w:asciiTheme="minorEastAsia" w:hAnsiTheme="minorEastAsia" w:eastAsiaTheme="minorEastAsia"/>
          <w:sz w:val="24"/>
        </w:rPr>
        <w:t>　评价工作应当在全面评价的基础上，以风险导向为基础，根据风险发生的可能性和对公司内部控制目标影响的程度评估出高风险领域和风险点，着重关注重要的业务事项和关键的控制环节，以及重要业务单位。</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（三）客观性原则　评价工作应当准确揭示经营管理的风险状况，如实反映内部控制设计与运行的有效性。</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（四）统一性原则　内部控制评价应当采用统一可比的评价认定标准，保证评价结果的客观性和可比性。</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（五）及时性原则　内部控制评价应按照一定的时间间隔持续进行，当经营管理环境发生重大变化时，需及时评价。</w:t>
      </w:r>
    </w:p>
    <w:p>
      <w:pPr>
        <w:pStyle w:val="6"/>
        <w:shd w:val="clear" w:color="auto" w:fill="FFFFFF"/>
        <w:spacing w:before="0" w:beforeAutospacing="0" w:after="0" w:afterAutospacing="0" w:line="300" w:lineRule="auto"/>
        <w:ind w:firstLine="480" w:firstLineChars="200"/>
        <w:rPr>
          <w:rFonts w:asciiTheme="minorEastAsia" w:hAnsiTheme="minorEastAsia" w:eastAsiaTheme="minorEastAsia"/>
        </w:rPr>
      </w:pPr>
      <w:r>
        <w:rPr>
          <w:rFonts w:hint="eastAsia" w:asciiTheme="minorEastAsia" w:hAnsiTheme="minorEastAsia" w:eastAsiaTheme="minorEastAsia"/>
        </w:rPr>
        <w:t>第四条 本制度适用于公司及下属子公司。</w:t>
      </w:r>
    </w:p>
    <w:p>
      <w:pPr>
        <w:pStyle w:val="10"/>
        <w:spacing w:line="300" w:lineRule="auto"/>
        <w:jc w:val="center"/>
        <w:rPr>
          <w:rFonts w:asciiTheme="minorEastAsia" w:hAnsiTheme="minorEastAsia" w:eastAsiaTheme="minorEastAsia"/>
          <w:b/>
        </w:rPr>
      </w:pPr>
      <w:r>
        <w:rPr>
          <w:rFonts w:hint="eastAsia" w:asciiTheme="minorEastAsia" w:hAnsiTheme="minorEastAsia" w:eastAsiaTheme="minorEastAsia"/>
          <w:b/>
        </w:rPr>
        <w:t>第二章　内部控制评价职责分工</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第五条　公司内部控制评价的职责分工</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（一）董事会　负责内部控制的建立健全和有效实施，审定和批准内部控制自我评价报告，对内部控制缺陷进行最终认定，对内部控制评价承担最终责任；独立董事对内部控制自我评价报告发表独立意见。</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（二）审计委员会　负责监督内部控制评价工作，听取和审议年度内部控制评价报告，提出相关意见和建议，独立董事对年度内部控制评价报告发表独立意见。</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（三）监事会　负责对公司建立与实施内部控制进行监督，对内部控制评价报告进行审议，并发表独立意见。</w:t>
      </w:r>
    </w:p>
    <w:p>
      <w:pPr>
        <w:autoSpaceDE w:val="0"/>
        <w:autoSpaceDN w:val="0"/>
        <w:adjustRightInd w:val="0"/>
        <w:spacing w:line="300" w:lineRule="auto"/>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sz w:val="24"/>
        </w:rPr>
        <w:t>（四）审计部　负责对公司各内部机构、子公司以及对公司具有重大影响的参股公司的内部控制制度的完整性、合理性及其实施的有效性进行日常和专项检查和评估；作为公司内部控制评价部门，根据公司内部控制日常监督及年度内部控制评价需要组织公司各职能部门及下属子公司开展内部控制自查自评、制定年度评价工作方案、组织评价工作组实施年度内部控制评价、对内部控制缺陷提出认定意见，拟定年度内部控制自我评价报告；督促内部控制缺陷整改落实；实施整改审计验收。</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（五）公司各职能部门　负责建立健全和有效实施本部门内部控制；实施本部门内部控制有效性自查自评；对发现的本部门有关内部控制缺陷编制整改计划及实施整改、配合整改验收；对对口管理的下属子公司相关部门或业务的内控缺陷整改工作进行指导、监督、检查。</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（六）下属子公司　负责建立健全和有效实施本单位内部控制；实施本单位内部控制有效性自查自评；对发现的本单位内部控制缺陷编制整改计划及实施整改、配合整改验收。</w:t>
      </w:r>
    </w:p>
    <w:p>
      <w:pPr>
        <w:pStyle w:val="10"/>
        <w:spacing w:line="300" w:lineRule="auto"/>
        <w:jc w:val="center"/>
        <w:rPr>
          <w:rFonts w:asciiTheme="minorEastAsia" w:hAnsiTheme="minorEastAsia" w:eastAsiaTheme="minorEastAsia"/>
          <w:b/>
        </w:rPr>
      </w:pPr>
    </w:p>
    <w:p>
      <w:pPr>
        <w:pStyle w:val="10"/>
        <w:spacing w:line="300" w:lineRule="auto"/>
        <w:jc w:val="center"/>
        <w:rPr>
          <w:rFonts w:asciiTheme="minorEastAsia" w:hAnsiTheme="minorEastAsia" w:eastAsiaTheme="minorEastAsia"/>
          <w:b/>
        </w:rPr>
      </w:pPr>
      <w:r>
        <w:rPr>
          <w:rFonts w:hint="eastAsia" w:asciiTheme="minorEastAsia" w:hAnsiTheme="minorEastAsia" w:eastAsiaTheme="minorEastAsia"/>
          <w:b/>
        </w:rPr>
        <w:t>第三章　内部控制评价的内容</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第六条　公司围绕内部环境、风险评估、控制活动、信息与沟通、内部监督等要素，确定内部控制评价的具体内容。</w:t>
      </w:r>
      <w:bookmarkStart w:id="4" w:name="第六条"/>
      <w:bookmarkEnd w:id="4"/>
      <w:bookmarkStart w:id="5" w:name="3_2"/>
      <w:bookmarkEnd w:id="5"/>
      <w:bookmarkStart w:id="6" w:name="3-2"/>
      <w:bookmarkEnd w:id="6"/>
      <w:bookmarkStart w:id="7" w:name="sub5001055_3_2"/>
      <w:bookmarkEnd w:id="7"/>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第七条　</w:t>
      </w:r>
      <w:r>
        <w:fldChar w:fldCharType="begin"/>
      </w:r>
      <w:r>
        <w:instrText xml:space="preserve"> HYPERLINK "https://baike.baidu.com/item/%E5%86%85%E9%83%A8%E7%8E%AF%E5%A2%83/340245" \t "_blank" </w:instrText>
      </w:r>
      <w:r>
        <w:fldChar w:fldCharType="separate"/>
      </w:r>
      <w:r>
        <w:rPr>
          <w:rFonts w:asciiTheme="minorEastAsia" w:hAnsiTheme="minorEastAsia" w:eastAsiaTheme="minorEastAsia"/>
          <w:sz w:val="24"/>
        </w:rPr>
        <w:t>内部环境</w:t>
      </w:r>
      <w:r>
        <w:rPr>
          <w:rFonts w:asciiTheme="minorEastAsia" w:hAnsiTheme="minorEastAsia" w:eastAsiaTheme="minorEastAsia"/>
          <w:sz w:val="24"/>
        </w:rPr>
        <w:fldChar w:fldCharType="end"/>
      </w:r>
      <w:r>
        <w:rPr>
          <w:rFonts w:asciiTheme="minorEastAsia" w:hAnsiTheme="minorEastAsia" w:eastAsiaTheme="minorEastAsia"/>
          <w:sz w:val="24"/>
        </w:rPr>
        <w:t>评价以组织架构、发展战略、人力资源、企业文化、社会责任等</w:t>
      </w:r>
      <w:r>
        <w:rPr>
          <w:rFonts w:hint="eastAsia" w:asciiTheme="minorEastAsia" w:hAnsiTheme="minorEastAsia" w:eastAsiaTheme="minorEastAsia"/>
          <w:sz w:val="24"/>
        </w:rPr>
        <w:t>为主要内容</w:t>
      </w:r>
      <w:r>
        <w:rPr>
          <w:rFonts w:asciiTheme="minorEastAsia" w:hAnsiTheme="minorEastAsia" w:eastAsiaTheme="minorEastAsia"/>
          <w:sz w:val="24"/>
        </w:rPr>
        <w:t>。</w:t>
      </w:r>
    </w:p>
    <w:p>
      <w:pPr>
        <w:spacing w:line="300" w:lineRule="auto"/>
        <w:ind w:firstLine="480" w:firstLineChars="200"/>
        <w:rPr>
          <w:rFonts w:asciiTheme="minorEastAsia" w:hAnsiTheme="minorEastAsia" w:eastAsiaTheme="minorEastAsia"/>
          <w:sz w:val="24"/>
        </w:rPr>
      </w:pPr>
      <w:bookmarkStart w:id="8" w:name="3-3"/>
      <w:bookmarkEnd w:id="8"/>
      <w:bookmarkStart w:id="9" w:name="第七条"/>
      <w:bookmarkEnd w:id="9"/>
      <w:bookmarkStart w:id="10" w:name="sub5001055_3_3"/>
      <w:bookmarkEnd w:id="10"/>
      <w:bookmarkStart w:id="11" w:name="3_3"/>
      <w:bookmarkEnd w:id="11"/>
      <w:r>
        <w:rPr>
          <w:rFonts w:hint="eastAsia" w:asciiTheme="minorEastAsia" w:hAnsiTheme="minorEastAsia" w:eastAsiaTheme="minorEastAsia"/>
          <w:sz w:val="24"/>
        </w:rPr>
        <w:t>第八条　</w:t>
      </w:r>
      <w:r>
        <w:fldChar w:fldCharType="begin"/>
      </w:r>
      <w:r>
        <w:instrText xml:space="preserve"> HYPERLINK "https://baike.baidu.com/item/%E9%A3%8E%E9%99%A9%E8%AF%84%E4%BC%B0/2785997" \t "_blank" </w:instrText>
      </w:r>
      <w:r>
        <w:fldChar w:fldCharType="separate"/>
      </w:r>
      <w:r>
        <w:rPr>
          <w:rFonts w:asciiTheme="minorEastAsia" w:hAnsiTheme="minorEastAsia" w:eastAsiaTheme="minorEastAsia"/>
          <w:sz w:val="24"/>
        </w:rPr>
        <w:t>风险评估</w:t>
      </w:r>
      <w:r>
        <w:rPr>
          <w:rFonts w:asciiTheme="minorEastAsia" w:hAnsiTheme="minorEastAsia" w:eastAsiaTheme="minorEastAsia"/>
          <w:sz w:val="24"/>
        </w:rPr>
        <w:fldChar w:fldCharType="end"/>
      </w:r>
      <w:r>
        <w:rPr>
          <w:rFonts w:asciiTheme="minorEastAsia" w:hAnsiTheme="minorEastAsia" w:eastAsiaTheme="minorEastAsia"/>
          <w:sz w:val="24"/>
        </w:rPr>
        <w:t>评价以日常经营管理过程中</w:t>
      </w:r>
      <w:r>
        <w:fldChar w:fldCharType="begin"/>
      </w:r>
      <w:r>
        <w:instrText xml:space="preserve"> HYPERLINK "https://baike.baidu.com/item/%E9%A3%8E%E9%99%A9%E8%AF%86%E5%88%AB/10990824" \t "_blank" </w:instrText>
      </w:r>
      <w:r>
        <w:fldChar w:fldCharType="separate"/>
      </w:r>
      <w:r>
        <w:rPr>
          <w:rFonts w:asciiTheme="minorEastAsia" w:hAnsiTheme="minorEastAsia" w:eastAsiaTheme="minorEastAsia"/>
          <w:sz w:val="24"/>
        </w:rPr>
        <w:t>风险识别</w:t>
      </w:r>
      <w:r>
        <w:rPr>
          <w:rFonts w:asciiTheme="minorEastAsia" w:hAnsiTheme="minorEastAsia" w:eastAsiaTheme="minorEastAsia"/>
          <w:sz w:val="24"/>
        </w:rPr>
        <w:fldChar w:fldCharType="end"/>
      </w:r>
      <w:r>
        <w:rPr>
          <w:rFonts w:asciiTheme="minorEastAsia" w:hAnsiTheme="minorEastAsia" w:eastAsiaTheme="minorEastAsia"/>
          <w:sz w:val="24"/>
        </w:rPr>
        <w:t>、风险分析、</w:t>
      </w:r>
      <w:r>
        <w:rPr>
          <w:rFonts w:hint="eastAsia" w:asciiTheme="minorEastAsia" w:hAnsiTheme="minorEastAsia" w:eastAsiaTheme="minorEastAsia"/>
          <w:sz w:val="24"/>
        </w:rPr>
        <w:t>风险应对机制为主要内容</w:t>
      </w:r>
      <w:r>
        <w:rPr>
          <w:rFonts w:asciiTheme="minorEastAsia" w:hAnsiTheme="minorEastAsia" w:eastAsiaTheme="minorEastAsia"/>
          <w:sz w:val="24"/>
        </w:rPr>
        <w:t>。</w:t>
      </w:r>
    </w:p>
    <w:p>
      <w:pPr>
        <w:spacing w:line="300" w:lineRule="auto"/>
        <w:ind w:firstLine="480" w:firstLineChars="200"/>
        <w:rPr>
          <w:rFonts w:asciiTheme="minorEastAsia" w:hAnsiTheme="minorEastAsia" w:eastAsiaTheme="minorEastAsia"/>
          <w:sz w:val="24"/>
        </w:rPr>
      </w:pPr>
      <w:bookmarkStart w:id="12" w:name="3-4"/>
      <w:bookmarkEnd w:id="12"/>
      <w:bookmarkStart w:id="13" w:name="sub5001055_3_4"/>
      <w:bookmarkEnd w:id="13"/>
      <w:bookmarkStart w:id="14" w:name="3_4"/>
      <w:bookmarkEnd w:id="14"/>
      <w:bookmarkStart w:id="15" w:name="第八条"/>
      <w:bookmarkEnd w:id="15"/>
      <w:r>
        <w:rPr>
          <w:rFonts w:hint="eastAsia" w:asciiTheme="minorEastAsia" w:hAnsiTheme="minorEastAsia" w:eastAsiaTheme="minorEastAsia"/>
          <w:sz w:val="24"/>
        </w:rPr>
        <w:t>第九条　</w:t>
      </w:r>
      <w:r>
        <w:fldChar w:fldCharType="begin"/>
      </w:r>
      <w:r>
        <w:instrText xml:space="preserve"> HYPERLINK "https://baike.baidu.com/item/%E6%8E%A7%E5%88%B6%E6%B4%BB%E5%8A%A8/3635006" \t "_blank" </w:instrText>
      </w:r>
      <w:r>
        <w:fldChar w:fldCharType="separate"/>
      </w:r>
      <w:r>
        <w:rPr>
          <w:rFonts w:asciiTheme="minorEastAsia" w:hAnsiTheme="minorEastAsia" w:eastAsiaTheme="minorEastAsia"/>
          <w:sz w:val="24"/>
        </w:rPr>
        <w:t>控制活动</w:t>
      </w:r>
      <w:r>
        <w:rPr>
          <w:rFonts w:asciiTheme="minorEastAsia" w:hAnsiTheme="minorEastAsia" w:eastAsiaTheme="minorEastAsia"/>
          <w:sz w:val="24"/>
        </w:rPr>
        <w:fldChar w:fldCharType="end"/>
      </w:r>
      <w:r>
        <w:rPr>
          <w:rFonts w:asciiTheme="minorEastAsia" w:hAnsiTheme="minorEastAsia" w:eastAsiaTheme="minorEastAsia"/>
          <w:sz w:val="24"/>
        </w:rPr>
        <w:t>评价以</w:t>
      </w:r>
      <w:r>
        <w:rPr>
          <w:rFonts w:hint="eastAsia" w:asciiTheme="minorEastAsia" w:hAnsiTheme="minorEastAsia" w:eastAsiaTheme="minorEastAsia"/>
          <w:sz w:val="24"/>
        </w:rPr>
        <w:t>具体的</w:t>
      </w:r>
      <w:r>
        <w:rPr>
          <w:rFonts w:asciiTheme="minorEastAsia" w:hAnsiTheme="minorEastAsia" w:eastAsiaTheme="minorEastAsia"/>
          <w:sz w:val="24"/>
        </w:rPr>
        <w:t>控制</w:t>
      </w:r>
      <w:r>
        <w:rPr>
          <w:rFonts w:hint="eastAsia" w:asciiTheme="minorEastAsia" w:hAnsiTheme="minorEastAsia" w:eastAsiaTheme="minorEastAsia"/>
          <w:sz w:val="24"/>
        </w:rPr>
        <w:t>措施为主要内容，包括不相容职务分离控制、授权审批控制、会计系统控制、财产保护控制、预算控制、运营分析控制和绩效考评控制等控制政策与程序。</w:t>
      </w:r>
    </w:p>
    <w:p>
      <w:pPr>
        <w:spacing w:line="300" w:lineRule="auto"/>
        <w:ind w:firstLine="480" w:firstLineChars="200"/>
        <w:rPr>
          <w:rFonts w:asciiTheme="minorEastAsia" w:hAnsiTheme="minorEastAsia" w:eastAsiaTheme="minorEastAsia"/>
          <w:sz w:val="24"/>
        </w:rPr>
      </w:pPr>
      <w:bookmarkStart w:id="16" w:name="3_5"/>
      <w:bookmarkEnd w:id="16"/>
      <w:bookmarkStart w:id="17" w:name="sub5001055_3_5"/>
      <w:bookmarkEnd w:id="17"/>
      <w:bookmarkStart w:id="18" w:name="第九条"/>
      <w:bookmarkEnd w:id="18"/>
      <w:bookmarkStart w:id="19" w:name="3-5"/>
      <w:bookmarkEnd w:id="19"/>
      <w:r>
        <w:rPr>
          <w:rFonts w:hint="eastAsia" w:asciiTheme="minorEastAsia" w:hAnsiTheme="minorEastAsia" w:eastAsiaTheme="minorEastAsia"/>
          <w:sz w:val="24"/>
        </w:rPr>
        <w:t>第十条　</w:t>
      </w:r>
      <w:r>
        <w:rPr>
          <w:rFonts w:asciiTheme="minorEastAsia" w:hAnsiTheme="minorEastAsia" w:eastAsiaTheme="minorEastAsia"/>
          <w:sz w:val="24"/>
        </w:rPr>
        <w:t>信息与沟通评价以信息收集、处理和传递的及时性、反舞弊机制</w:t>
      </w:r>
      <w:r>
        <w:rPr>
          <w:rFonts w:hint="eastAsia" w:asciiTheme="minorEastAsia" w:hAnsiTheme="minorEastAsia" w:eastAsiaTheme="minorEastAsia"/>
          <w:sz w:val="24"/>
        </w:rPr>
        <w:t>的健全性</w:t>
      </w:r>
      <w:r>
        <w:rPr>
          <w:rFonts w:asciiTheme="minorEastAsia" w:hAnsiTheme="minorEastAsia" w:eastAsiaTheme="minorEastAsia"/>
          <w:sz w:val="24"/>
        </w:rPr>
        <w:t>、财务报告的真实性、信息系统的安全性，以及利用信息系统实施内部控制的有效性</w:t>
      </w:r>
      <w:r>
        <w:rPr>
          <w:rFonts w:hint="eastAsia" w:asciiTheme="minorEastAsia" w:hAnsiTheme="minorEastAsia" w:eastAsiaTheme="minorEastAsia"/>
          <w:sz w:val="24"/>
        </w:rPr>
        <w:t>为主要内容。</w:t>
      </w:r>
    </w:p>
    <w:p>
      <w:pPr>
        <w:spacing w:line="300" w:lineRule="auto"/>
        <w:ind w:firstLine="480" w:firstLineChars="200"/>
        <w:rPr>
          <w:rFonts w:asciiTheme="minorEastAsia" w:hAnsiTheme="minorEastAsia" w:eastAsiaTheme="minorEastAsia"/>
          <w:sz w:val="24"/>
        </w:rPr>
      </w:pPr>
      <w:bookmarkStart w:id="20" w:name="sub5001055_3_6"/>
      <w:bookmarkEnd w:id="20"/>
      <w:bookmarkStart w:id="21" w:name="3_6"/>
      <w:bookmarkEnd w:id="21"/>
      <w:bookmarkStart w:id="22" w:name="第十条"/>
      <w:bookmarkEnd w:id="22"/>
      <w:bookmarkStart w:id="23" w:name="3-6"/>
      <w:bookmarkEnd w:id="23"/>
      <w:r>
        <w:rPr>
          <w:rFonts w:hint="eastAsia" w:asciiTheme="minorEastAsia" w:hAnsiTheme="minorEastAsia" w:eastAsiaTheme="minorEastAsia"/>
          <w:sz w:val="24"/>
        </w:rPr>
        <w:t>第十一条　</w:t>
      </w:r>
      <w:r>
        <w:rPr>
          <w:rFonts w:asciiTheme="minorEastAsia" w:hAnsiTheme="minorEastAsia" w:eastAsiaTheme="minorEastAsia"/>
          <w:sz w:val="24"/>
        </w:rPr>
        <w:t>内部监督评价以内部监督机制的有效性</w:t>
      </w:r>
      <w:r>
        <w:rPr>
          <w:rFonts w:hint="eastAsia" w:asciiTheme="minorEastAsia" w:hAnsiTheme="minorEastAsia" w:eastAsiaTheme="minorEastAsia"/>
          <w:sz w:val="24"/>
        </w:rPr>
        <w:t>为主要内容，</w:t>
      </w:r>
      <w:r>
        <w:rPr>
          <w:rFonts w:asciiTheme="minorEastAsia" w:hAnsiTheme="minorEastAsia" w:eastAsiaTheme="minorEastAsia"/>
          <w:sz w:val="24"/>
        </w:rPr>
        <w:t>重点关注监事会、</w:t>
      </w:r>
      <w:r>
        <w:fldChar w:fldCharType="begin"/>
      </w:r>
      <w:r>
        <w:instrText xml:space="preserve"> HYPERLINK "https://baike.baidu.com/item/%E5%AE%A1%E8%AE%A1%E5%A7%94%E5%91%98%E4%BC%9A/148738" \t "_blank" </w:instrText>
      </w:r>
      <w:r>
        <w:fldChar w:fldCharType="separate"/>
      </w:r>
      <w:r>
        <w:fldChar w:fldCharType="end"/>
      </w:r>
      <w:r>
        <w:fldChar w:fldCharType="begin"/>
      </w:r>
      <w:r>
        <w:instrText xml:space="preserve"> HYPERLINK "https://baike.baidu.com/item/%E5%86%85%E9%83%A8%E5%AE%A1%E8%AE%A1%E6%9C%BA%E6%9E%84/9687432" \t "_blank" </w:instrText>
      </w:r>
      <w:r>
        <w:fldChar w:fldCharType="separate"/>
      </w:r>
      <w:r>
        <w:rPr>
          <w:rFonts w:asciiTheme="minorEastAsia" w:hAnsiTheme="minorEastAsia" w:eastAsiaTheme="minorEastAsia"/>
          <w:sz w:val="24"/>
        </w:rPr>
        <w:t>内部审计机构</w:t>
      </w:r>
      <w:r>
        <w:rPr>
          <w:rFonts w:asciiTheme="minorEastAsia" w:hAnsiTheme="minorEastAsia" w:eastAsiaTheme="minorEastAsia"/>
          <w:sz w:val="24"/>
        </w:rPr>
        <w:fldChar w:fldCharType="end"/>
      </w:r>
      <w:r>
        <w:rPr>
          <w:rFonts w:asciiTheme="minorEastAsia" w:hAnsiTheme="minorEastAsia" w:eastAsiaTheme="minorEastAsia"/>
          <w:sz w:val="24"/>
        </w:rPr>
        <w:t>等是否在内部控制设计和运行中有效发挥监督作用。</w:t>
      </w:r>
      <w:bookmarkStart w:id="24" w:name="3-7"/>
      <w:bookmarkEnd w:id="24"/>
      <w:bookmarkStart w:id="25" w:name="3_7"/>
      <w:bookmarkEnd w:id="25"/>
      <w:bookmarkStart w:id="26" w:name="第十一条"/>
      <w:bookmarkEnd w:id="26"/>
      <w:bookmarkStart w:id="27" w:name="sub5001055_3_7"/>
      <w:bookmarkEnd w:id="27"/>
    </w:p>
    <w:p>
      <w:pPr>
        <w:spacing w:line="300" w:lineRule="auto"/>
        <w:ind w:firstLine="480" w:firstLineChars="200"/>
        <w:rPr>
          <w:rFonts w:asciiTheme="minorEastAsia" w:hAnsiTheme="minorEastAsia" w:eastAsiaTheme="minorEastAsia"/>
          <w:sz w:val="24"/>
        </w:rPr>
      </w:pPr>
    </w:p>
    <w:p>
      <w:pPr>
        <w:spacing w:line="300" w:lineRule="auto"/>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第四章　内部控制评价实施</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第十二条　内部控制评价程序一般包括：制定评价工作方案、被评价单位自查自评、评价工作组实施现场测试、认定控制缺陷、汇总评价结果、编报评价报告等环节。</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第十三条　审计部制定评价工作方案，评价工作方案应当明确评价主体范围、初步确定的评价重点业务或事项、人员组织、时间进度安排和费用预算等相关内容，报董事长审批后实施。</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第十四条　根据经批准的评价工作方案的相关自查计划，公司各职能部门及各子公司以每年度12月31日为评价基准日，一般情况下于次年度1月31日前完成各单位年度内部控制全面自查自评，经本单位负责人审核确认后，向公司审计部提交自查自评工作表。</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第十五条　评价工作组一般由审计部员工组成，有需要时可以增加熟悉情况、参与日常内部控制监督管理的部门负责人或骨干员工，但评价工作组成员应当对其所属部门的内部控制评价工作实行回避。</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第十六条　评价工作组根据公司整体及各职能部门的目标，结合各单位的自查自评结果、内外部审计情况、财务稽核情况、整改情况以及接受举报投诉情况等，识别相关主要风险，进一步确定检查重点和抽样数量，对被评价单位进行现场检查测试，综合运用个别访谈、调查问卷、专题讨论、穿行测试、实地查验、抽查和比较分析等方法，充分收集被评价单位内部控制设计和运行是否有效的证据，研究分析内部控制缺陷，进行内部控制缺陷初步认定。</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第十七条　各单位自查自评以及评价工作组检查测试应该在全面评价的基础上重点关注以下方面：</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（一）确认重要业务领域的关键业务流程循环及关键控制点、风险因素；</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（二）检查相关制度是否明确了管理目标、规定的控制程序</w:t>
      </w:r>
      <w:r>
        <w:rPr>
          <w:rFonts w:asciiTheme="minorEastAsia" w:hAnsiTheme="minorEastAsia" w:eastAsiaTheme="minorEastAsia"/>
          <w:sz w:val="24"/>
        </w:rPr>
        <w:t>能否有效降低和控制经营管理中的风险</w:t>
      </w:r>
      <w:r>
        <w:rPr>
          <w:rFonts w:hint="eastAsia" w:asciiTheme="minorEastAsia" w:hAnsiTheme="minorEastAsia" w:eastAsiaTheme="minorEastAsia"/>
          <w:sz w:val="24"/>
        </w:rPr>
        <w:t>；</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（三）是否按规定权限执行相关控制活动；</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（四）控制活动是否有效；</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（五）是否利用信息化技术实施内部控制；</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（六）是否有证据证明控制点得到真实有效实施；</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（七）是否实现规定的控制目标。</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第十八条　</w:t>
      </w:r>
      <w:r>
        <w:fldChar w:fldCharType="begin"/>
      </w:r>
      <w:r>
        <w:instrText xml:space="preserve"> HYPERLINK "https://baike.baidu.com/item/%E5%86%85%E9%83%A8%E6%8E%A7%E5%88%B6%E8%AF%84%E4%BB%B7/4491097" \t "_blank" </w:instrText>
      </w:r>
      <w:r>
        <w:fldChar w:fldCharType="separate"/>
      </w:r>
      <w:r>
        <w:rPr>
          <w:rFonts w:asciiTheme="minorEastAsia" w:hAnsiTheme="minorEastAsia" w:eastAsiaTheme="minorEastAsia"/>
          <w:sz w:val="24"/>
        </w:rPr>
        <w:t>内部控制评价</w:t>
      </w:r>
      <w:r>
        <w:rPr>
          <w:rFonts w:asciiTheme="minorEastAsia" w:hAnsiTheme="minorEastAsia" w:eastAsiaTheme="minorEastAsia"/>
          <w:sz w:val="24"/>
        </w:rPr>
        <w:fldChar w:fldCharType="end"/>
      </w:r>
      <w:r>
        <w:rPr>
          <w:rFonts w:asciiTheme="minorEastAsia" w:hAnsiTheme="minorEastAsia" w:eastAsiaTheme="minorEastAsia"/>
          <w:sz w:val="24"/>
        </w:rPr>
        <w:t>工作应当</w:t>
      </w:r>
      <w:r>
        <w:rPr>
          <w:rFonts w:hint="eastAsia" w:asciiTheme="minorEastAsia" w:hAnsiTheme="minorEastAsia" w:eastAsiaTheme="minorEastAsia"/>
          <w:sz w:val="24"/>
        </w:rPr>
        <w:t>编制评价</w:t>
      </w:r>
      <w:r>
        <w:rPr>
          <w:rFonts w:asciiTheme="minorEastAsia" w:hAnsiTheme="minorEastAsia" w:eastAsiaTheme="minorEastAsia"/>
          <w:sz w:val="24"/>
        </w:rPr>
        <w:t>工作底稿，详细记录执行评价工作的内容，包括评价要素、主要风险点、采取的控制措施、有关</w:t>
      </w:r>
      <w:r>
        <w:fldChar w:fldCharType="begin"/>
      </w:r>
      <w:r>
        <w:instrText xml:space="preserve"> HYPERLINK "https://baike.baidu.com/item/%E8%AF%81%E6%8D%AE%E8%B5%84%E6%96%99/10944302" \t "_blank" </w:instrText>
      </w:r>
      <w:r>
        <w:fldChar w:fldCharType="separate"/>
      </w:r>
      <w:r>
        <w:rPr>
          <w:rFonts w:asciiTheme="minorEastAsia" w:hAnsiTheme="minorEastAsia" w:eastAsiaTheme="minorEastAsia"/>
          <w:sz w:val="24"/>
        </w:rPr>
        <w:t>证据资料</w:t>
      </w:r>
      <w:r>
        <w:rPr>
          <w:rFonts w:asciiTheme="minorEastAsia" w:hAnsiTheme="minorEastAsia" w:eastAsiaTheme="minorEastAsia"/>
          <w:sz w:val="24"/>
        </w:rPr>
        <w:fldChar w:fldCharType="end"/>
      </w:r>
      <w:r>
        <w:rPr>
          <w:rFonts w:asciiTheme="minorEastAsia" w:hAnsiTheme="minorEastAsia" w:eastAsiaTheme="minorEastAsia"/>
          <w:sz w:val="24"/>
        </w:rPr>
        <w:t>以及认定结果等。评价工作底稿应当设计合理、证据充分、简便易行、便于操作。</w:t>
      </w:r>
      <w:r>
        <w:rPr>
          <w:rFonts w:hint="eastAsia" w:asciiTheme="minorEastAsia" w:hAnsiTheme="minorEastAsia" w:eastAsiaTheme="minorEastAsia"/>
          <w:sz w:val="24"/>
        </w:rPr>
        <w:t>评价工作组实施交叉复核工作底稿，评价组工作负责人对评价工作底稿进行审核签字。</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第十九条　审计部对评价工作组完成的内部控制缺陷初步认定，结合日常监督和专项监督发现的内部控制缺陷及其持续改进情况，对内部控制缺陷及其成因、表现形式和影响程度进行综合分析和全面复核，提出认定意见，编制内部控制缺陷认定汇总表。</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rPr>
        <w:t>二十</w:t>
      </w:r>
      <w:r>
        <w:rPr>
          <w:rFonts w:hint="eastAsia" w:asciiTheme="minorEastAsia" w:hAnsiTheme="minorEastAsia" w:eastAsiaTheme="minorEastAsia"/>
          <w:sz w:val="24"/>
        </w:rPr>
        <w:t>条　审计部对于初步认定的重大缺陷，应及时向董事会报告。如果出现不适合向相关经理层报告的情形，例如存在与管理层舞弊相关的内部控制缺陷，或存在管理层凌驾于内部控制之上的情形，应当直接向董事会报告。重大缺陷应当由董事会予以最终认定。对于非重大缺陷，审计部可以向相关经理层报告并作认定。</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第二十一条　审计部对认定的内部控制缺陷拟定整改</w:t>
      </w:r>
      <w:r>
        <w:rPr>
          <w:rFonts w:cs="Times New Roman" w:asciiTheme="minorEastAsia" w:hAnsiTheme="minorEastAsia" w:eastAsiaTheme="minorEastAsia"/>
          <w:color w:val="auto"/>
          <w:kern w:val="2"/>
        </w:rPr>
        <w:t>通知，</w:t>
      </w:r>
      <w:r>
        <w:rPr>
          <w:rFonts w:hint="eastAsia" w:cs="Times New Roman" w:asciiTheme="minorEastAsia" w:hAnsiTheme="minorEastAsia" w:eastAsiaTheme="minorEastAsia"/>
          <w:color w:val="auto"/>
          <w:kern w:val="2"/>
        </w:rPr>
        <w:t>提出整改建议，</w:t>
      </w:r>
      <w:r>
        <w:rPr>
          <w:rFonts w:cs="Times New Roman" w:asciiTheme="minorEastAsia" w:hAnsiTheme="minorEastAsia" w:eastAsiaTheme="minorEastAsia"/>
          <w:color w:val="auto"/>
          <w:kern w:val="2"/>
        </w:rPr>
        <w:t>督促</w:t>
      </w:r>
      <w:r>
        <w:rPr>
          <w:rFonts w:hint="eastAsia" w:cs="Times New Roman" w:asciiTheme="minorEastAsia" w:hAnsiTheme="minorEastAsia" w:eastAsiaTheme="minorEastAsia"/>
          <w:color w:val="auto"/>
          <w:kern w:val="2"/>
        </w:rPr>
        <w:t>相关</w:t>
      </w:r>
      <w:r>
        <w:rPr>
          <w:rFonts w:cs="Times New Roman" w:asciiTheme="minorEastAsia" w:hAnsiTheme="minorEastAsia" w:eastAsiaTheme="minorEastAsia"/>
          <w:color w:val="auto"/>
          <w:kern w:val="2"/>
        </w:rPr>
        <w:t>单位</w:t>
      </w:r>
      <w:r>
        <w:rPr>
          <w:rFonts w:hint="eastAsia" w:cs="Times New Roman" w:asciiTheme="minorEastAsia" w:hAnsiTheme="minorEastAsia" w:eastAsiaTheme="minorEastAsia"/>
          <w:color w:val="auto"/>
          <w:kern w:val="2"/>
        </w:rPr>
        <w:t>制定整改计划</w:t>
      </w:r>
      <w:r>
        <w:rPr>
          <w:rFonts w:cs="Times New Roman" w:asciiTheme="minorEastAsia" w:hAnsiTheme="minorEastAsia" w:eastAsiaTheme="minorEastAsia"/>
          <w:color w:val="auto"/>
          <w:kern w:val="2"/>
        </w:rPr>
        <w:t>。</w:t>
      </w:r>
      <w:r>
        <w:rPr>
          <w:rFonts w:hint="eastAsia" w:asciiTheme="minorEastAsia" w:hAnsiTheme="minorEastAsia" w:eastAsiaTheme="minorEastAsia"/>
        </w:rPr>
        <w:t>公司各部门及各子公司负责人是本单位内部控制缺陷整改的具体责任人，要按内部控制缺陷清单逐项分析、整改。</w:t>
      </w:r>
    </w:p>
    <w:p>
      <w:pPr>
        <w:pStyle w:val="10"/>
        <w:spacing w:line="300" w:lineRule="auto"/>
        <w:ind w:firstLine="48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第二十</w:t>
      </w:r>
      <w:r>
        <w:rPr>
          <w:rFonts w:hint="eastAsia" w:asciiTheme="minorEastAsia" w:hAnsiTheme="minorEastAsia" w:eastAsiaTheme="minorEastAsia"/>
        </w:rPr>
        <w:t>二</w:t>
      </w:r>
      <w:r>
        <w:rPr>
          <w:rFonts w:hint="eastAsia" w:cs="Times New Roman" w:asciiTheme="minorEastAsia" w:hAnsiTheme="minorEastAsia" w:eastAsiaTheme="minorEastAsia"/>
          <w:color w:val="auto"/>
          <w:kern w:val="2"/>
        </w:rPr>
        <w:t>条　对于认定的重大缺陷，</w:t>
      </w:r>
      <w:r>
        <w:rPr>
          <w:rFonts w:hint="eastAsia" w:asciiTheme="minorEastAsia" w:hAnsiTheme="minorEastAsia" w:eastAsiaTheme="minorEastAsia"/>
        </w:rPr>
        <w:t>总裁办需对整改工作实施督导，并接受董事会、审计委员会、监事会的监督。</w:t>
      </w:r>
      <w:r>
        <w:rPr>
          <w:rFonts w:hint="eastAsia" w:cs="Times New Roman" w:asciiTheme="minorEastAsia" w:hAnsiTheme="minorEastAsia" w:eastAsiaTheme="minorEastAsia"/>
          <w:color w:val="auto"/>
          <w:kern w:val="2"/>
        </w:rPr>
        <w:t>公司董事会、经理层应当及时采取应对策略，切实将风险控制在可承受度之内，并追究有关部门、人员责任。</w:t>
      </w:r>
    </w:p>
    <w:p>
      <w:pPr>
        <w:pStyle w:val="10"/>
        <w:spacing w:line="300" w:lineRule="auto"/>
        <w:ind w:firstLine="480" w:firstLineChars="200"/>
        <w:rPr>
          <w:rFonts w:asciiTheme="minorEastAsia" w:hAnsiTheme="minorEastAsia" w:eastAsiaTheme="minorEastAsia"/>
        </w:rPr>
      </w:pPr>
      <w:r>
        <w:rPr>
          <w:rFonts w:hint="eastAsia" w:asciiTheme="minorEastAsia" w:hAnsiTheme="minorEastAsia" w:eastAsiaTheme="minorEastAsia"/>
        </w:rPr>
        <w:t>第二十三条　在整改期间审计部要对相关部门的整改进行跟踪、指导、验收，向相关管理层报告整改实施完成情况。</w:t>
      </w:r>
    </w:p>
    <w:p>
      <w:pPr>
        <w:spacing w:line="300" w:lineRule="auto"/>
        <w:ind w:firstLine="480" w:firstLineChars="200"/>
        <w:rPr>
          <w:rFonts w:cs="宋体" w:asciiTheme="minorEastAsia" w:hAnsiTheme="minorEastAsia" w:eastAsiaTheme="minorEastAsia"/>
          <w:color w:val="000000"/>
          <w:kern w:val="0"/>
          <w:sz w:val="24"/>
        </w:rPr>
      </w:pPr>
      <w:r>
        <w:rPr>
          <w:rFonts w:hint="eastAsia" w:asciiTheme="minorEastAsia" w:hAnsiTheme="minorEastAsia" w:eastAsiaTheme="minorEastAsia"/>
          <w:sz w:val="24"/>
        </w:rPr>
        <w:t>第二十四条　审计部根据公司档案管理制度规定及时</w:t>
      </w:r>
      <w:r>
        <w:rPr>
          <w:rFonts w:hint="eastAsia" w:cs="宋体" w:asciiTheme="minorEastAsia" w:hAnsiTheme="minorEastAsia" w:eastAsiaTheme="minorEastAsia"/>
          <w:color w:val="000000"/>
          <w:kern w:val="0"/>
          <w:sz w:val="24"/>
        </w:rPr>
        <w:t>对内部控制评价的有关文件资料、工作底稿和证明材料等进行整理建档。</w:t>
      </w:r>
    </w:p>
    <w:p>
      <w:pPr>
        <w:spacing w:line="300" w:lineRule="auto"/>
        <w:ind w:firstLine="480" w:firstLineChars="200"/>
        <w:rPr>
          <w:rFonts w:cs="宋体" w:asciiTheme="minorEastAsia" w:hAnsiTheme="minorEastAsia" w:eastAsiaTheme="minorEastAsia"/>
          <w:color w:val="000000"/>
          <w:kern w:val="0"/>
          <w:sz w:val="24"/>
        </w:rPr>
      </w:pPr>
    </w:p>
    <w:p>
      <w:pPr>
        <w:spacing w:line="300" w:lineRule="auto"/>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第五章　内部控制缺陷分类及认定标准</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第二十五条　内部控制缺陷的分类：</w:t>
      </w:r>
      <w:r>
        <w:rPr>
          <w:rFonts w:asciiTheme="minorEastAsia" w:hAnsiTheme="minorEastAsia" w:eastAsiaTheme="minorEastAsia"/>
          <w:sz w:val="24"/>
        </w:rPr>
        <w:t xml:space="preserve"> </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内部控制缺陷按其成因分为设计缺陷和运行缺陷。设计缺陷是指内部控制设计不科学、不适当，即使正常运行也难以实现控制目标。运行缺陷是指设计有效但在实际运行过程中没有严格按照设计意图执行，导致内部</w:t>
      </w:r>
      <w:r>
        <w:rPr>
          <w:rFonts w:asciiTheme="minorEastAsia" w:hAnsiTheme="minorEastAsia" w:eastAsiaTheme="minorEastAsia"/>
          <w:sz w:val="24"/>
        </w:rPr>
        <w:t xml:space="preserve">控制运行与设计脱节，未能有效实施控制、实现控制目标。 </w:t>
      </w:r>
    </w:p>
    <w:p>
      <w:pPr>
        <w:spacing w:line="30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（二）内部控制缺陷按其表现形式分为财务报告内部控制缺陷和非财务报告内部控制缺陷。财务报告内部控制缺陷主要是指不能合理保证财务报告可靠性的内部控制设计和运行缺陷。</w:t>
      </w:r>
      <w:r>
        <w:rPr>
          <w:rFonts w:hint="eastAsia" w:asciiTheme="minorEastAsia" w:hAnsiTheme="minorEastAsia" w:eastAsiaTheme="minorEastAsia"/>
          <w:sz w:val="24"/>
        </w:rPr>
        <w:t>非财务报告内部控制缺陷是指对</w:t>
      </w:r>
      <w:r>
        <w:rPr>
          <w:rFonts w:asciiTheme="minorEastAsia" w:hAnsiTheme="minorEastAsia" w:eastAsiaTheme="minorEastAsia"/>
          <w:sz w:val="24"/>
        </w:rPr>
        <w:t>除财务报告目标之外的其他目标</w:t>
      </w:r>
      <w:r>
        <w:rPr>
          <w:rFonts w:hint="eastAsia" w:asciiTheme="minorEastAsia" w:hAnsiTheme="minorEastAsia" w:eastAsiaTheme="minorEastAsia"/>
          <w:sz w:val="24"/>
        </w:rPr>
        <w:t>实现有不利影响</w:t>
      </w:r>
      <w:r>
        <w:rPr>
          <w:rFonts w:asciiTheme="minorEastAsia" w:hAnsiTheme="minorEastAsia" w:eastAsiaTheme="minorEastAsia"/>
          <w:sz w:val="24"/>
        </w:rPr>
        <w:t>的内部控制</w:t>
      </w:r>
      <w:r>
        <w:rPr>
          <w:rFonts w:hint="eastAsia" w:asciiTheme="minorEastAsia" w:hAnsiTheme="minorEastAsia" w:eastAsiaTheme="minorEastAsia"/>
          <w:sz w:val="24"/>
        </w:rPr>
        <w:t>设计和运行缺陷，</w:t>
      </w:r>
      <w:r>
        <w:rPr>
          <w:rFonts w:asciiTheme="minorEastAsia" w:hAnsiTheme="minorEastAsia" w:eastAsiaTheme="minorEastAsia"/>
          <w:sz w:val="24"/>
        </w:rPr>
        <w:t>这些目标一般包括战略目标、资产安全、经营目标、合规目标等</w:t>
      </w:r>
      <w:r>
        <w:rPr>
          <w:rFonts w:hint="eastAsia" w:asciiTheme="minorEastAsia" w:hAnsiTheme="minorEastAsia" w:eastAsiaTheme="minorEastAsia"/>
          <w:sz w:val="24"/>
        </w:rPr>
        <w:t>。</w:t>
      </w:r>
    </w:p>
    <w:p>
      <w:pPr>
        <w:spacing w:line="30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（三）内部控制按其影响程度分为重大缺陷、重要缺陷和一般缺陷。内部控制缺陷的重要性和影响程度是相对于内部控制目标而言的</w:t>
      </w:r>
      <w:r>
        <w:rPr>
          <w:rFonts w:hint="eastAsia" w:asciiTheme="minorEastAsia" w:hAnsiTheme="minorEastAsia" w:eastAsiaTheme="minorEastAsia"/>
          <w:sz w:val="24"/>
        </w:rPr>
        <w:t>，</w:t>
      </w:r>
      <w:r>
        <w:rPr>
          <w:rFonts w:asciiTheme="minorEastAsia" w:hAnsiTheme="minorEastAsia" w:eastAsiaTheme="minorEastAsia"/>
          <w:sz w:val="24"/>
        </w:rPr>
        <w:t>公司采用定性和定量相结合的方法</w:t>
      </w:r>
      <w:r>
        <w:rPr>
          <w:rFonts w:hint="eastAsia" w:asciiTheme="minorEastAsia" w:hAnsiTheme="minorEastAsia" w:eastAsiaTheme="minorEastAsia"/>
          <w:sz w:val="24"/>
        </w:rPr>
        <w:t>分析</w:t>
      </w:r>
      <w:r>
        <w:rPr>
          <w:rFonts w:asciiTheme="minorEastAsia" w:hAnsiTheme="minorEastAsia" w:eastAsiaTheme="minorEastAsia"/>
          <w:sz w:val="24"/>
        </w:rPr>
        <w:t>内部控制缺陷的重要性和影响程度</w:t>
      </w:r>
      <w:r>
        <w:rPr>
          <w:rFonts w:hint="eastAsia" w:asciiTheme="minorEastAsia" w:hAnsiTheme="minorEastAsia" w:eastAsiaTheme="minorEastAsia"/>
          <w:sz w:val="24"/>
        </w:rPr>
        <w:t>，</w:t>
      </w:r>
      <w:r>
        <w:rPr>
          <w:rFonts w:asciiTheme="minorEastAsia" w:hAnsiTheme="minorEastAsia" w:eastAsiaTheme="minorEastAsia"/>
          <w:sz w:val="24"/>
        </w:rPr>
        <w:t>区分财务报告内部控制缺陷和非财务报告内部控制缺陷分别制定内部控制缺陷的</w:t>
      </w:r>
      <w:r>
        <w:rPr>
          <w:rFonts w:hint="eastAsia" w:asciiTheme="minorEastAsia" w:hAnsiTheme="minorEastAsia" w:eastAsiaTheme="minorEastAsia"/>
          <w:sz w:val="24"/>
        </w:rPr>
        <w:t>定性和定量</w:t>
      </w:r>
      <w:r>
        <w:rPr>
          <w:rFonts w:asciiTheme="minorEastAsia" w:hAnsiTheme="minorEastAsia" w:eastAsiaTheme="minorEastAsia"/>
          <w:sz w:val="24"/>
        </w:rPr>
        <w:t>标准</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第二十六条　</w:t>
      </w:r>
      <w:r>
        <w:rPr>
          <w:rFonts w:asciiTheme="minorEastAsia" w:hAnsiTheme="minorEastAsia" w:eastAsiaTheme="minorEastAsia"/>
          <w:sz w:val="24"/>
        </w:rPr>
        <w:t>公司</w:t>
      </w:r>
      <w:r>
        <w:rPr>
          <w:rFonts w:hint="eastAsia" w:asciiTheme="minorEastAsia" w:hAnsiTheme="minorEastAsia" w:eastAsiaTheme="minorEastAsia"/>
          <w:sz w:val="24"/>
        </w:rPr>
        <w:t>经董事会批准</w:t>
      </w:r>
      <w:r>
        <w:rPr>
          <w:rFonts w:asciiTheme="minorEastAsia" w:hAnsiTheme="minorEastAsia" w:eastAsiaTheme="minorEastAsia"/>
          <w:sz w:val="24"/>
        </w:rPr>
        <w:t>的内部控制缺陷认定标准</w:t>
      </w:r>
      <w:r>
        <w:rPr>
          <w:rFonts w:hint="eastAsia" w:asciiTheme="minorEastAsia" w:hAnsiTheme="minorEastAsia" w:eastAsiaTheme="minorEastAsia"/>
          <w:sz w:val="24"/>
        </w:rPr>
        <w:t>详见本制度附件。</w:t>
      </w:r>
      <w:r>
        <w:rPr>
          <w:rFonts w:asciiTheme="minorEastAsia" w:hAnsiTheme="minorEastAsia" w:eastAsiaTheme="minorEastAsia"/>
          <w:sz w:val="24"/>
        </w:rPr>
        <w:t xml:space="preserve"> </w:t>
      </w:r>
      <w:r>
        <w:rPr>
          <w:rFonts w:hint="eastAsia" w:asciiTheme="minorEastAsia" w:hAnsiTheme="minorEastAsia" w:eastAsiaTheme="minorEastAsia"/>
          <w:sz w:val="24"/>
        </w:rPr>
        <w:t>如公司经营状况及资产总额、净利润等财务指标发生重大变化，公司需根据实际情况及时对定性及定量标准评估其适当性并进行适当修订。</w:t>
      </w:r>
    </w:p>
    <w:p>
      <w:pPr>
        <w:spacing w:line="300" w:lineRule="auto"/>
        <w:ind w:firstLine="480" w:firstLineChars="200"/>
        <w:rPr>
          <w:rFonts w:asciiTheme="minorEastAsia" w:hAnsiTheme="minorEastAsia" w:eastAsiaTheme="minorEastAsia"/>
          <w:sz w:val="24"/>
        </w:rPr>
      </w:pPr>
    </w:p>
    <w:p>
      <w:pPr>
        <w:spacing w:line="300" w:lineRule="auto"/>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第六章　内部控制评价报告</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第二十七条　审计部根据内部控制评价工作底稿、内部控制缺陷认定汇总表等资料拟定评价报告。董事会或者其专门委员会根据审计部出具的评价报告及相关资料，对与财务报告和信息披露事务相关的内部控制制度的建立和实施情况出具年度内部控制自我评价报告，在审议年度报告的同时对内部控制自我评价报告形成决议。</w:t>
      </w:r>
      <w:r>
        <w:rPr>
          <w:rFonts w:asciiTheme="minorEastAsia" w:hAnsiTheme="minorEastAsia" w:eastAsiaTheme="minorEastAsia"/>
          <w:sz w:val="24"/>
        </w:rPr>
        <w:t xml:space="preserve"> </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内部控制自我评价报告至少应当包括下列内容：</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（一）董事会对内部控制报告真实性的声明；</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（二）内部控制评价工作的总体情况；</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（三）内部控制评价的依据、范围、程序和方法；</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（四）内部控制缺陷及其认定情况；</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（五）对上一年度内部控制缺陷的整改情况；</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（六）对本年度内部控制缺陷拟采取的整改措施；</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（七）内部控制有效性的结论。</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第二十八条　公司应当以每年的</w:t>
      </w:r>
      <w:r>
        <w:rPr>
          <w:rFonts w:asciiTheme="minorEastAsia" w:hAnsiTheme="minorEastAsia" w:eastAsiaTheme="minorEastAsia"/>
          <w:sz w:val="24"/>
        </w:rPr>
        <w:t>12</w:t>
      </w:r>
      <w:r>
        <w:rPr>
          <w:rFonts w:hint="eastAsia" w:asciiTheme="minorEastAsia" w:hAnsiTheme="minorEastAsia" w:eastAsiaTheme="minorEastAsia"/>
          <w:sz w:val="24"/>
        </w:rPr>
        <w:t>月</w:t>
      </w:r>
      <w:r>
        <w:rPr>
          <w:rFonts w:asciiTheme="minorEastAsia" w:hAnsiTheme="minorEastAsia" w:eastAsiaTheme="minorEastAsia"/>
          <w:sz w:val="24"/>
        </w:rPr>
        <w:t>31</w:t>
      </w:r>
      <w:r>
        <w:rPr>
          <w:rFonts w:hint="eastAsia" w:asciiTheme="minorEastAsia" w:hAnsiTheme="minorEastAsia" w:eastAsiaTheme="minorEastAsia"/>
          <w:sz w:val="24"/>
        </w:rPr>
        <w:t>日作为年度内部控制自我评价报告的基准日，</w:t>
      </w:r>
      <w:r>
        <w:rPr>
          <w:rFonts w:asciiTheme="minorEastAsia" w:hAnsiTheme="minorEastAsia" w:eastAsiaTheme="minorEastAsia"/>
          <w:sz w:val="24"/>
        </w:rPr>
        <w:t>审计部</w:t>
      </w:r>
      <w:r>
        <w:rPr>
          <w:rFonts w:hint="eastAsia" w:asciiTheme="minorEastAsia" w:hAnsiTheme="minorEastAsia" w:eastAsiaTheme="minorEastAsia"/>
          <w:sz w:val="24"/>
        </w:rPr>
        <w:t>需</w:t>
      </w:r>
      <w:r>
        <w:rPr>
          <w:rFonts w:asciiTheme="minorEastAsia" w:hAnsiTheme="minorEastAsia" w:eastAsiaTheme="minorEastAsia"/>
          <w:sz w:val="24"/>
        </w:rPr>
        <w:t xml:space="preserve">关注自内部控制自我评价报告基准日至内部控制自我评价报告发出日之间是否发生影响内部控制有效性的因素，并根据其性质和影响程度对评价结论进行相应调整。 </w:t>
      </w:r>
    </w:p>
    <w:p>
      <w:pPr>
        <w:spacing w:line="300" w:lineRule="auto"/>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第七章　其他规定</w:t>
      </w:r>
    </w:p>
    <w:p>
      <w:pPr>
        <w:spacing w:line="30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第二十九条　执行内部控制评价过程中相关单位和员工应及时配合评价工作的开展，因迟报、漏报、瞒报等影响内部控制评价工作进行的，应当依据公司相关管理制度追究有关人员的责任。</w:t>
      </w:r>
    </w:p>
    <w:p>
      <w:pPr>
        <w:spacing w:line="30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第三十条　未经授权批准，任何个人或单位不得对外公布内部控制评价结果，凡擅自泄露内部控制评价结果的，应当根据相关法律法规及公司相关管理制度追究有关人员的责任。</w:t>
      </w:r>
    </w:p>
    <w:p>
      <w:pPr>
        <w:spacing w:line="300" w:lineRule="auto"/>
        <w:ind w:firstLine="480" w:firstLineChars="200"/>
        <w:jc w:val="left"/>
        <w:rPr>
          <w:rFonts w:asciiTheme="minorEastAsia" w:hAnsiTheme="minorEastAsia" w:eastAsiaTheme="minorEastAsia"/>
          <w:sz w:val="24"/>
        </w:rPr>
      </w:pPr>
    </w:p>
    <w:p>
      <w:pPr>
        <w:spacing w:line="300" w:lineRule="auto"/>
        <w:jc w:val="center"/>
        <w:rPr>
          <w:rFonts w:ascii="宋体" w:hAnsi="宋体"/>
          <w:b/>
          <w:sz w:val="24"/>
        </w:rPr>
      </w:pPr>
      <w:r>
        <w:rPr>
          <w:rFonts w:hint="eastAsia" w:ascii="宋体" w:hAnsi="宋体"/>
          <w:b/>
          <w:sz w:val="24"/>
        </w:rPr>
        <w:t>第八章　附则</w:t>
      </w:r>
    </w:p>
    <w:p>
      <w:pPr>
        <w:spacing w:line="300" w:lineRule="auto"/>
        <w:ind w:firstLine="480"/>
        <w:jc w:val="left"/>
        <w:rPr>
          <w:rFonts w:ascii="宋体" w:hAnsi="宋体"/>
          <w:sz w:val="24"/>
        </w:rPr>
      </w:pPr>
      <w:r>
        <w:rPr>
          <w:rFonts w:hint="eastAsia" w:ascii="宋体" w:hAnsi="宋体"/>
          <w:sz w:val="24"/>
        </w:rPr>
        <w:t>第三十一条　本制度未尽事宜或者与有关法律、法规、规范性文件的强制性规定相抵触的，应当依照有关法律、法规、规范性文件的规定执行。</w:t>
      </w:r>
    </w:p>
    <w:p>
      <w:pPr>
        <w:spacing w:line="300" w:lineRule="auto"/>
        <w:ind w:firstLine="480"/>
        <w:jc w:val="left"/>
        <w:rPr>
          <w:rFonts w:ascii="宋体" w:hAnsi="宋体"/>
          <w:sz w:val="24"/>
        </w:rPr>
      </w:pPr>
      <w:r>
        <w:rPr>
          <w:rFonts w:hint="eastAsia" w:ascii="宋体" w:hAnsi="宋体"/>
          <w:sz w:val="24"/>
        </w:rPr>
        <w:t>第三十二条　本制度解释和修订由公司董事会负责。</w:t>
      </w:r>
    </w:p>
    <w:p>
      <w:pPr>
        <w:spacing w:line="300" w:lineRule="auto"/>
        <w:ind w:firstLine="480"/>
        <w:jc w:val="left"/>
        <w:rPr>
          <w:rFonts w:ascii="宋体" w:hAnsi="宋体"/>
          <w:sz w:val="24"/>
        </w:rPr>
      </w:pPr>
      <w:r>
        <w:rPr>
          <w:rFonts w:hint="eastAsia" w:ascii="宋体" w:hAnsi="宋体"/>
          <w:sz w:val="24"/>
        </w:rPr>
        <w:t>第三十三条　本制度自公司董事会审议通过之日起生效并实施。</w:t>
      </w: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right"/>
        <w:rPr>
          <w:rFonts w:ascii="宋体" w:hAnsi="宋体"/>
          <w:sz w:val="24"/>
        </w:rPr>
      </w:pPr>
      <w:r>
        <w:rPr>
          <w:rFonts w:hint="eastAsia" w:ascii="宋体" w:hAnsi="宋体"/>
          <w:sz w:val="24"/>
        </w:rPr>
        <w:t>融捷股份董事会</w:t>
      </w:r>
    </w:p>
    <w:p>
      <w:pPr>
        <w:spacing w:line="300" w:lineRule="auto"/>
        <w:ind w:firstLine="480"/>
        <w:jc w:val="right"/>
        <w:rPr>
          <w:rFonts w:ascii="宋体" w:hAnsi="宋体"/>
          <w:sz w:val="24"/>
        </w:rPr>
      </w:pPr>
      <w:r>
        <w:rPr>
          <w:rFonts w:hint="eastAsia" w:ascii="宋体" w:hAnsi="宋体"/>
          <w:sz w:val="24"/>
        </w:rPr>
        <w:t>　　</w:t>
      </w:r>
      <w:r>
        <w:rPr>
          <w:rFonts w:hint="eastAsia" w:ascii="宋体" w:hAnsi="宋体"/>
          <w:sz w:val="24"/>
          <w:lang w:val="en-US" w:eastAsia="zh-CN"/>
        </w:rPr>
        <w:t>2020</w:t>
      </w:r>
      <w:r>
        <w:rPr>
          <w:rFonts w:hint="eastAsia" w:ascii="宋体" w:hAnsi="宋体"/>
          <w:sz w:val="24"/>
        </w:rPr>
        <w:t>年</w:t>
      </w:r>
      <w:r>
        <w:rPr>
          <w:rFonts w:hint="eastAsia" w:ascii="宋体" w:hAnsi="宋体"/>
          <w:sz w:val="24"/>
          <w:lang w:val="en-US" w:eastAsia="zh-CN"/>
        </w:rPr>
        <w:t>12</w:t>
      </w:r>
      <w:bookmarkStart w:id="28" w:name="_GoBack"/>
      <w:bookmarkEnd w:id="28"/>
      <w:r>
        <w:rPr>
          <w:rFonts w:hint="eastAsia" w:ascii="宋体" w:hAnsi="宋体"/>
          <w:sz w:val="24"/>
        </w:rPr>
        <w:t>月</w:t>
      </w:r>
      <w:r>
        <w:rPr>
          <w:rFonts w:hint="eastAsia" w:ascii="宋体" w:hAnsi="宋体"/>
          <w:sz w:val="24"/>
          <w:lang w:val="en-US" w:eastAsia="zh-CN"/>
        </w:rPr>
        <w:t>11</w:t>
      </w:r>
      <w:r>
        <w:rPr>
          <w:rFonts w:hint="eastAsia" w:ascii="宋体" w:hAnsi="宋体"/>
          <w:sz w:val="24"/>
        </w:rPr>
        <w:t>日</w:t>
      </w: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sz w:val="24"/>
        </w:rPr>
      </w:pPr>
    </w:p>
    <w:p>
      <w:pPr>
        <w:spacing w:line="300" w:lineRule="auto"/>
        <w:ind w:firstLine="480"/>
        <w:jc w:val="left"/>
        <w:rPr>
          <w:rFonts w:ascii="宋体" w:hAnsi="宋体"/>
          <w:b/>
          <w:sz w:val="24"/>
        </w:rPr>
      </w:pPr>
      <w:r>
        <w:rPr>
          <w:rFonts w:hint="eastAsia" w:ascii="宋体" w:hAnsi="宋体"/>
          <w:b/>
          <w:sz w:val="24"/>
        </w:rPr>
        <w:t>附件　</w:t>
      </w:r>
    </w:p>
    <w:p>
      <w:pPr>
        <w:spacing w:line="300" w:lineRule="auto"/>
        <w:ind w:firstLine="480"/>
        <w:jc w:val="left"/>
        <w:rPr>
          <w:rFonts w:ascii="宋体" w:hAnsi="宋体"/>
          <w:sz w:val="24"/>
        </w:rPr>
      </w:pPr>
    </w:p>
    <w:p>
      <w:pPr>
        <w:spacing w:line="300" w:lineRule="auto"/>
        <w:ind w:firstLine="480"/>
        <w:jc w:val="center"/>
        <w:rPr>
          <w:rFonts w:ascii="宋体" w:hAnsi="宋体"/>
          <w:b/>
          <w:sz w:val="24"/>
        </w:rPr>
      </w:pPr>
      <w:r>
        <w:rPr>
          <w:rFonts w:hint="eastAsia" w:ascii="宋体" w:hAnsi="宋体"/>
          <w:b/>
          <w:sz w:val="24"/>
        </w:rPr>
        <w:t>内部控制缺陷认定标准</w:t>
      </w:r>
    </w:p>
    <w:p>
      <w:pPr>
        <w:spacing w:line="300" w:lineRule="auto"/>
        <w:ind w:firstLine="480"/>
        <w:jc w:val="center"/>
        <w:rPr>
          <w:bCs/>
          <w:sz w:val="24"/>
        </w:rPr>
      </w:pPr>
      <w:r>
        <w:rPr>
          <w:rFonts w:hint="eastAsia"/>
          <w:bCs/>
          <w:sz w:val="24"/>
        </w:rPr>
        <w:t>（于2017年8月25日经第六届董事会第九次会议审议通过）</w:t>
      </w:r>
    </w:p>
    <w:p>
      <w:pPr>
        <w:spacing w:line="300" w:lineRule="auto"/>
        <w:ind w:firstLine="480"/>
        <w:jc w:val="center"/>
        <w:rPr>
          <w:rFonts w:ascii="宋体" w:hAnsi="宋体"/>
          <w:sz w:val="24"/>
        </w:rPr>
      </w:pPr>
    </w:p>
    <w:p>
      <w:pPr>
        <w:tabs>
          <w:tab w:val="left" w:pos="0"/>
        </w:tabs>
        <w:spacing w:line="360" w:lineRule="auto"/>
        <w:ind w:left="480"/>
        <w:rPr>
          <w:rFonts w:ascii="宋体" w:hAnsi="宋体" w:cs="MS Gothic"/>
          <w:sz w:val="24"/>
        </w:rPr>
      </w:pPr>
      <w:r>
        <w:rPr>
          <w:rFonts w:hint="eastAsia" w:ascii="宋体" w:hAnsi="宋体" w:cs="Arial"/>
          <w:b/>
          <w:sz w:val="24"/>
        </w:rPr>
        <w:t>一、</w:t>
      </w:r>
      <w:r>
        <w:rPr>
          <w:rFonts w:ascii="宋体" w:hAnsi="宋体" w:cs="Arial"/>
          <w:b/>
          <w:sz w:val="24"/>
        </w:rPr>
        <w:t>财务报告内部控制缺陷的认定标准</w:t>
      </w:r>
      <w:r>
        <w:rPr>
          <w:rFonts w:hint="eastAsia" w:ascii="宋体" w:hAnsi="MS Gothic" w:eastAsia="MS Gothic" w:cs="MS Gothic"/>
          <w:b/>
          <w:sz w:val="24"/>
        </w:rPr>
        <w:t>   </w:t>
      </w:r>
      <w:r>
        <w:rPr>
          <w:rFonts w:hint="eastAsia" w:ascii="宋体" w:hAnsi="MS Gothic" w:eastAsia="MS Gothic" w:cs="MS Gothic"/>
          <w:sz w:val="24"/>
        </w:rPr>
        <w:t> </w:t>
      </w:r>
    </w:p>
    <w:p>
      <w:pPr>
        <w:tabs>
          <w:tab w:val="left" w:pos="0"/>
        </w:tabs>
        <w:spacing w:line="360" w:lineRule="auto"/>
        <w:ind w:left="480"/>
        <w:rPr>
          <w:rFonts w:ascii="宋体" w:hAnsi="宋体" w:cs="MS Gothic"/>
          <w:sz w:val="24"/>
        </w:rPr>
      </w:pPr>
      <w:r>
        <w:rPr>
          <w:sz w:val="24"/>
        </w:rPr>
        <w:t>1、</w:t>
      </w:r>
      <w:r>
        <w:rPr>
          <w:bCs/>
          <w:sz w:val="24"/>
        </w:rPr>
        <w:t>定性标准</w:t>
      </w:r>
    </w:p>
    <w:p>
      <w:pPr>
        <w:tabs>
          <w:tab w:val="left" w:pos="0"/>
        </w:tabs>
        <w:spacing w:line="360" w:lineRule="auto"/>
        <w:ind w:left="480"/>
        <w:rPr>
          <w:rFonts w:ascii="宋体" w:hAnsi="宋体" w:cs="MS Gothic"/>
          <w:sz w:val="24"/>
        </w:rPr>
      </w:pPr>
      <w:r>
        <w:rPr>
          <w:rFonts w:hint="eastAsia"/>
          <w:bCs/>
          <w:sz w:val="24"/>
        </w:rPr>
        <w:t>表明公司可能存在财务报告内部控制缺陷的迹象列示如下：</w:t>
      </w:r>
      <w:r>
        <w:rPr>
          <w:rFonts w:eastAsia="MS Gothic"/>
          <w:bCs/>
          <w:sz w:val="24"/>
        </w:rPr>
        <w:t>     </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tabs>
                <w:tab w:val="left" w:pos="0"/>
              </w:tabs>
              <w:spacing w:line="360" w:lineRule="auto"/>
              <w:jc w:val="center"/>
              <w:rPr>
                <w:bCs/>
                <w:szCs w:val="21"/>
              </w:rPr>
            </w:pPr>
            <w:r>
              <w:rPr>
                <w:rFonts w:hint="eastAsia"/>
                <w:bCs/>
                <w:szCs w:val="21"/>
              </w:rPr>
              <w:t>缺陷程度</w:t>
            </w:r>
          </w:p>
        </w:tc>
        <w:tc>
          <w:tcPr>
            <w:tcW w:w="7371" w:type="dxa"/>
          </w:tcPr>
          <w:p>
            <w:pPr>
              <w:tabs>
                <w:tab w:val="left" w:pos="0"/>
              </w:tabs>
              <w:spacing w:line="360" w:lineRule="auto"/>
              <w:jc w:val="center"/>
              <w:rPr>
                <w:color w:val="000000"/>
                <w:szCs w:val="21"/>
              </w:rPr>
            </w:pPr>
            <w:r>
              <w:rPr>
                <w:rFonts w:hint="eastAsia"/>
                <w:color w:val="000000"/>
                <w:szCs w:val="21"/>
              </w:rPr>
              <w:t>缺陷迹象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tabs>
                <w:tab w:val="left" w:pos="0"/>
              </w:tabs>
              <w:spacing w:line="360" w:lineRule="auto"/>
              <w:jc w:val="center"/>
              <w:rPr>
                <w:bCs/>
                <w:szCs w:val="21"/>
              </w:rPr>
            </w:pPr>
            <w:r>
              <w:rPr>
                <w:bCs/>
                <w:szCs w:val="21"/>
              </w:rPr>
              <w:t>重大缺陷</w:t>
            </w:r>
          </w:p>
        </w:tc>
        <w:tc>
          <w:tcPr>
            <w:tcW w:w="7371" w:type="dxa"/>
          </w:tcPr>
          <w:p>
            <w:pPr>
              <w:tabs>
                <w:tab w:val="left" w:pos="0"/>
              </w:tabs>
              <w:rPr>
                <w:szCs w:val="21"/>
              </w:rPr>
            </w:pPr>
            <w:r>
              <w:rPr>
                <w:szCs w:val="21"/>
              </w:rPr>
              <w:t>（</w:t>
            </w:r>
            <w:r>
              <w:rPr>
                <w:rFonts w:hint="eastAsia"/>
                <w:szCs w:val="21"/>
              </w:rPr>
              <w:t>1</w:t>
            </w:r>
            <w:r>
              <w:rPr>
                <w:szCs w:val="21"/>
              </w:rPr>
              <w:t>）</w:t>
            </w:r>
            <w:r>
              <w:rPr>
                <w:color w:val="000000"/>
                <w:szCs w:val="21"/>
              </w:rPr>
              <w:t>董事、监事和高级管理人员舞弊并给公司造成</w:t>
            </w:r>
            <w:r>
              <w:rPr>
                <w:rFonts w:hint="eastAsia"/>
                <w:color w:val="000000"/>
                <w:szCs w:val="21"/>
              </w:rPr>
              <w:t>重大不利影响</w:t>
            </w:r>
            <w:r>
              <w:rPr>
                <w:color w:val="000000"/>
                <w:szCs w:val="21"/>
              </w:rPr>
              <w:t>；</w:t>
            </w:r>
            <w:r>
              <w:rPr>
                <w:rFonts w:eastAsia="MS Gothic"/>
                <w:szCs w:val="21"/>
              </w:rPr>
              <w:t>     </w:t>
            </w:r>
          </w:p>
          <w:p>
            <w:pPr>
              <w:tabs>
                <w:tab w:val="left" w:pos="0"/>
              </w:tabs>
              <w:rPr>
                <w:szCs w:val="21"/>
              </w:rPr>
            </w:pPr>
            <w:r>
              <w:rPr>
                <w:szCs w:val="21"/>
              </w:rPr>
              <w:t>（</w:t>
            </w:r>
            <w:r>
              <w:rPr>
                <w:rFonts w:hint="eastAsia"/>
                <w:szCs w:val="21"/>
              </w:rPr>
              <w:t>2</w:t>
            </w:r>
            <w:r>
              <w:rPr>
                <w:szCs w:val="21"/>
              </w:rPr>
              <w:t>）已经公告的财务报告</w:t>
            </w:r>
            <w:r>
              <w:rPr>
                <w:rFonts w:hint="eastAsia"/>
                <w:szCs w:val="21"/>
              </w:rPr>
              <w:t>存在</w:t>
            </w:r>
            <w:r>
              <w:rPr>
                <w:szCs w:val="21"/>
              </w:rPr>
              <w:t>重大</w:t>
            </w:r>
            <w:r>
              <w:rPr>
                <w:rFonts w:hint="eastAsia"/>
                <w:szCs w:val="21"/>
              </w:rPr>
              <w:t>会计</w:t>
            </w:r>
            <w:r>
              <w:rPr>
                <w:szCs w:val="21"/>
              </w:rPr>
              <w:t>差错；</w:t>
            </w:r>
            <w:r>
              <w:rPr>
                <w:rFonts w:eastAsia="MS Gothic"/>
                <w:szCs w:val="21"/>
              </w:rPr>
              <w:t>     </w:t>
            </w:r>
          </w:p>
          <w:p>
            <w:pPr>
              <w:tabs>
                <w:tab w:val="left" w:pos="0"/>
              </w:tabs>
              <w:rPr>
                <w:szCs w:val="21"/>
              </w:rPr>
            </w:pPr>
            <w:r>
              <w:rPr>
                <w:szCs w:val="21"/>
              </w:rPr>
              <w:t>（</w:t>
            </w:r>
            <w:r>
              <w:rPr>
                <w:rFonts w:hint="eastAsia"/>
                <w:szCs w:val="21"/>
              </w:rPr>
              <w:t>3</w:t>
            </w:r>
            <w:r>
              <w:rPr>
                <w:szCs w:val="21"/>
              </w:rPr>
              <w:t>）</w:t>
            </w:r>
            <w:r>
              <w:rPr>
                <w:rFonts w:hint="eastAsia"/>
                <w:szCs w:val="21"/>
              </w:rPr>
              <w:t>注册会计师发现</w:t>
            </w:r>
            <w:r>
              <w:rPr>
                <w:szCs w:val="21"/>
              </w:rPr>
              <w:t>当期财务报告存在重大错报，而内部控制在运行过程中未能发现该错报</w:t>
            </w:r>
            <w:r>
              <w:rPr>
                <w:rFonts w:hint="eastAsia"/>
                <w:szCs w:val="21"/>
              </w:rPr>
              <w:t>；</w:t>
            </w:r>
            <w:r>
              <w:rPr>
                <w:rFonts w:eastAsia="MS Gothic"/>
                <w:szCs w:val="21"/>
              </w:rPr>
              <w:t> </w:t>
            </w:r>
          </w:p>
          <w:p>
            <w:pPr>
              <w:tabs>
                <w:tab w:val="left" w:pos="0"/>
              </w:tabs>
              <w:rPr>
                <w:bCs/>
                <w:szCs w:val="21"/>
              </w:rPr>
            </w:pPr>
            <w:r>
              <w:rPr>
                <w:szCs w:val="21"/>
              </w:rPr>
              <w:t>（</w:t>
            </w:r>
            <w:r>
              <w:rPr>
                <w:rFonts w:hint="eastAsia"/>
                <w:szCs w:val="21"/>
              </w:rPr>
              <w:t>4</w:t>
            </w:r>
            <w:r>
              <w:rPr>
                <w:szCs w:val="21"/>
              </w:rPr>
              <w:t>）审计委员会以及内部审计部门对财务报告内部控制监督无效</w:t>
            </w:r>
            <w:r>
              <w:rPr>
                <w:rFonts w:hint="eastAsia"/>
                <w:szCs w:val="21"/>
              </w:rPr>
              <w:t>。</w:t>
            </w:r>
            <w:r>
              <w:rPr>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tabs>
                <w:tab w:val="left" w:pos="0"/>
              </w:tabs>
              <w:spacing w:line="360" w:lineRule="auto"/>
              <w:jc w:val="center"/>
              <w:rPr>
                <w:bCs/>
                <w:szCs w:val="21"/>
              </w:rPr>
            </w:pPr>
            <w:r>
              <w:rPr>
                <w:bCs/>
                <w:szCs w:val="21"/>
              </w:rPr>
              <w:t>重要缺陷</w:t>
            </w:r>
          </w:p>
        </w:tc>
        <w:tc>
          <w:tcPr>
            <w:tcW w:w="7371" w:type="dxa"/>
          </w:tcPr>
          <w:p>
            <w:pPr>
              <w:tabs>
                <w:tab w:val="left" w:pos="0"/>
              </w:tabs>
              <w:rPr>
                <w:szCs w:val="21"/>
              </w:rPr>
            </w:pPr>
            <w:r>
              <w:rPr>
                <w:szCs w:val="21"/>
              </w:rPr>
              <w:t>（</w:t>
            </w:r>
            <w:r>
              <w:rPr>
                <w:rFonts w:hint="eastAsia"/>
                <w:szCs w:val="21"/>
              </w:rPr>
              <w:t>1</w:t>
            </w:r>
            <w:r>
              <w:rPr>
                <w:szCs w:val="21"/>
              </w:rPr>
              <w:t>）</w:t>
            </w:r>
            <w:r>
              <w:rPr>
                <w:color w:val="000000"/>
                <w:szCs w:val="21"/>
              </w:rPr>
              <w:t>董事、监事和高级管理人员舞弊</w:t>
            </w:r>
            <w:r>
              <w:rPr>
                <w:rFonts w:hint="eastAsia"/>
                <w:color w:val="000000"/>
                <w:szCs w:val="21"/>
              </w:rPr>
              <w:t>但未</w:t>
            </w:r>
            <w:r>
              <w:rPr>
                <w:color w:val="000000"/>
                <w:szCs w:val="21"/>
              </w:rPr>
              <w:t>给公司造成</w:t>
            </w:r>
            <w:r>
              <w:rPr>
                <w:rFonts w:hint="eastAsia"/>
                <w:color w:val="000000"/>
                <w:szCs w:val="21"/>
              </w:rPr>
              <w:t>重大不利影响；</w:t>
            </w:r>
          </w:p>
          <w:p>
            <w:pPr>
              <w:tabs>
                <w:tab w:val="left" w:pos="0"/>
              </w:tabs>
              <w:rPr>
                <w:szCs w:val="21"/>
              </w:rPr>
            </w:pPr>
            <w:r>
              <w:rPr>
                <w:szCs w:val="21"/>
              </w:rPr>
              <w:t>（</w:t>
            </w:r>
            <w:r>
              <w:rPr>
                <w:rFonts w:hint="eastAsia"/>
                <w:szCs w:val="21"/>
              </w:rPr>
              <w:t>2</w:t>
            </w:r>
            <w:r>
              <w:rPr>
                <w:szCs w:val="21"/>
              </w:rPr>
              <w:t>）未依照公认会计准则选择和应用会计政策；</w:t>
            </w:r>
            <w:r>
              <w:rPr>
                <w:rFonts w:eastAsia="MS Gothic"/>
                <w:szCs w:val="21"/>
              </w:rPr>
              <w:t>     </w:t>
            </w:r>
          </w:p>
          <w:p>
            <w:pPr>
              <w:tabs>
                <w:tab w:val="left" w:pos="0"/>
              </w:tabs>
              <w:rPr>
                <w:szCs w:val="21"/>
              </w:rPr>
            </w:pPr>
            <w:r>
              <w:rPr>
                <w:szCs w:val="21"/>
              </w:rPr>
              <w:t>（</w:t>
            </w:r>
            <w:r>
              <w:rPr>
                <w:rFonts w:hint="eastAsia"/>
                <w:szCs w:val="21"/>
              </w:rPr>
              <w:t>3</w:t>
            </w:r>
            <w:r>
              <w:rPr>
                <w:szCs w:val="21"/>
              </w:rPr>
              <w:t>）未建立反舞弊程序和控制措施</w:t>
            </w:r>
            <w:r>
              <w:rPr>
                <w:rFonts w:hint="eastAsia"/>
                <w:szCs w:val="21"/>
              </w:rPr>
              <w:t>；</w:t>
            </w:r>
            <w:r>
              <w:rPr>
                <w:rFonts w:eastAsia="MS Gothic"/>
                <w:szCs w:val="21"/>
              </w:rPr>
              <w:t>     </w:t>
            </w:r>
          </w:p>
          <w:p>
            <w:pPr>
              <w:rPr>
                <w:szCs w:val="21"/>
              </w:rPr>
            </w:pPr>
            <w:r>
              <w:rPr>
                <w:szCs w:val="21"/>
              </w:rPr>
              <w:t>（</w:t>
            </w:r>
            <w:r>
              <w:rPr>
                <w:rFonts w:hint="eastAsia"/>
                <w:szCs w:val="21"/>
              </w:rPr>
              <w:t>4</w:t>
            </w:r>
            <w:r>
              <w:rPr>
                <w:szCs w:val="21"/>
              </w:rPr>
              <w:t>）对于非常规或特殊交易的账务处理没有建立相应的控制机制或没有实施</w:t>
            </w:r>
            <w:r>
              <w:rPr>
                <w:rFonts w:hint="eastAsia"/>
                <w:szCs w:val="21"/>
              </w:rPr>
              <w:t>且没有相应的补偿性控制</w:t>
            </w:r>
            <w:r>
              <w:rPr>
                <w:szCs w:val="21"/>
              </w:rPr>
              <w:t>；</w:t>
            </w:r>
            <w:r>
              <w:rPr>
                <w:rFonts w:eastAsia="MS Gothic"/>
                <w:szCs w:val="21"/>
              </w:rPr>
              <w:t> </w:t>
            </w:r>
          </w:p>
          <w:p>
            <w:pPr>
              <w:rPr>
                <w:bCs/>
                <w:szCs w:val="21"/>
              </w:rPr>
            </w:pPr>
            <w:r>
              <w:rPr>
                <w:szCs w:val="21"/>
              </w:rPr>
              <w:t>（</w:t>
            </w:r>
            <w:r>
              <w:rPr>
                <w:rFonts w:hint="eastAsia"/>
                <w:szCs w:val="21"/>
              </w:rPr>
              <w:t>5</w:t>
            </w:r>
            <w:r>
              <w:rPr>
                <w:szCs w:val="21"/>
              </w:rPr>
              <w:t>） 对于期末财务报告过程的控制存在一项或多项缺陷且不能合理保证编制的财务报表达到真实、准确的目标</w:t>
            </w:r>
            <w:r>
              <w:rPr>
                <w:rFonts w:hint="eastAsia"/>
                <w:szCs w:val="21"/>
              </w:rPr>
              <w:t>。</w:t>
            </w:r>
            <w:r>
              <w:rPr>
                <w:rFonts w:eastAsia="MS Gothic"/>
                <w:szCs w:val="21"/>
              </w:rPr>
              <w:t>  </w:t>
            </w:r>
            <w:r>
              <w:rPr>
                <w:szCs w:val="21"/>
              </w:rPr>
              <w:t xml:space="preserve"> </w:t>
            </w:r>
            <w:r>
              <w:rPr>
                <w:rFonts w:eastAsia="MS Gothic"/>
                <w:bCs/>
                <w:szCs w:val="21"/>
              </w:rPr>
              <w:t> </w:t>
            </w:r>
            <w:r>
              <w:rPr>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tabs>
                <w:tab w:val="left" w:pos="0"/>
              </w:tabs>
              <w:spacing w:line="360" w:lineRule="auto"/>
              <w:jc w:val="center"/>
              <w:rPr>
                <w:bCs/>
                <w:szCs w:val="21"/>
              </w:rPr>
            </w:pPr>
            <w:r>
              <w:rPr>
                <w:bCs/>
                <w:szCs w:val="21"/>
              </w:rPr>
              <w:t>一般缺陷</w:t>
            </w:r>
          </w:p>
        </w:tc>
        <w:tc>
          <w:tcPr>
            <w:tcW w:w="7371" w:type="dxa"/>
          </w:tcPr>
          <w:p>
            <w:pPr>
              <w:tabs>
                <w:tab w:val="left" w:pos="0"/>
              </w:tabs>
              <w:spacing w:line="360" w:lineRule="auto"/>
              <w:rPr>
                <w:bCs/>
                <w:szCs w:val="21"/>
              </w:rPr>
            </w:pPr>
            <w:r>
              <w:rPr>
                <w:bCs/>
                <w:szCs w:val="21"/>
              </w:rPr>
              <w:t>除上述重大缺陷、重要缺陷之外的其他控制缺陷</w:t>
            </w:r>
            <w:r>
              <w:rPr>
                <w:rFonts w:hint="eastAsia"/>
                <w:bCs/>
                <w:szCs w:val="21"/>
              </w:rPr>
              <w:t>。</w:t>
            </w:r>
          </w:p>
        </w:tc>
      </w:tr>
    </w:tbl>
    <w:p>
      <w:pPr>
        <w:tabs>
          <w:tab w:val="left" w:pos="0"/>
        </w:tabs>
        <w:spacing w:line="360" w:lineRule="auto"/>
        <w:rPr>
          <w:bCs/>
          <w:sz w:val="24"/>
        </w:rPr>
      </w:pPr>
      <w:r>
        <w:rPr>
          <w:rFonts w:hint="eastAsia"/>
          <w:bCs/>
          <w:sz w:val="24"/>
        </w:rPr>
        <w:t xml:space="preserve">    2、</w:t>
      </w:r>
      <w:r>
        <w:rPr>
          <w:bCs/>
          <w:sz w:val="24"/>
        </w:rPr>
        <w:t>定量标准</w:t>
      </w:r>
      <w:r>
        <w:rPr>
          <w:rFonts w:eastAsia="MS Gothic"/>
          <w:bCs/>
          <w:sz w:val="24"/>
        </w:rPr>
        <w:t>    </w:t>
      </w:r>
      <w:r>
        <w:rPr>
          <w:bCs/>
          <w:sz w:val="24"/>
        </w:rPr>
        <w:t xml:space="preserve"> </w:t>
      </w:r>
    </w:p>
    <w:p>
      <w:pPr>
        <w:tabs>
          <w:tab w:val="left" w:pos="0"/>
        </w:tabs>
        <w:spacing w:line="360" w:lineRule="auto"/>
        <w:ind w:firstLine="480" w:firstLineChars="200"/>
        <w:rPr>
          <w:rFonts w:ascii="Arial" w:hAnsi="Arial" w:cs="Arial"/>
          <w:sz w:val="18"/>
          <w:szCs w:val="18"/>
        </w:rPr>
      </w:pPr>
      <w:r>
        <w:rPr>
          <w:rFonts w:ascii="宋体" w:hAnsi="宋体" w:cs="Arial"/>
          <w:sz w:val="24"/>
        </w:rPr>
        <w:t>公司</w:t>
      </w:r>
      <w:r>
        <w:rPr>
          <w:rFonts w:hint="eastAsia" w:ascii="宋体" w:hAnsi="宋体" w:cs="Arial"/>
          <w:sz w:val="24"/>
        </w:rPr>
        <w:t>根据</w:t>
      </w:r>
      <w:r>
        <w:rPr>
          <w:rFonts w:ascii="宋体" w:hAnsi="宋体" w:cs="Arial"/>
          <w:sz w:val="24"/>
        </w:rPr>
        <w:t>是否直接影响财务报告的原则，</w:t>
      </w:r>
      <w:r>
        <w:rPr>
          <w:rFonts w:hint="eastAsia" w:ascii="宋体" w:hAnsi="宋体" w:cs="Arial"/>
          <w:sz w:val="24"/>
        </w:rPr>
        <w:t>内部控制缺陷可能导致或已导致的错报与利润相关的，以对净利润的影响程度及结合绝对金额衡量，内部控制缺陷可能导致或已导致的错报与资产、负债相关的，以对资产总额的影响程度及结合绝对金额衡量。公司</w:t>
      </w:r>
      <w:r>
        <w:rPr>
          <w:rFonts w:ascii="宋体" w:hAnsi="宋体" w:cs="Arial"/>
          <w:sz w:val="24"/>
        </w:rPr>
        <w:t>确定的</w:t>
      </w:r>
      <w:r>
        <w:rPr>
          <w:rFonts w:hint="eastAsia" w:ascii="宋体" w:hAnsi="宋体" w:cs="Arial"/>
          <w:sz w:val="24"/>
        </w:rPr>
        <w:t>财务报告内部控制缺陷认定的</w:t>
      </w:r>
      <w:r>
        <w:rPr>
          <w:rFonts w:ascii="宋体" w:hAnsi="宋体" w:cs="Arial"/>
          <w:sz w:val="24"/>
        </w:rPr>
        <w:t>定量标准</w:t>
      </w:r>
      <w:r>
        <w:rPr>
          <w:rFonts w:hint="eastAsia" w:ascii="宋体" w:hAnsi="宋体" w:cs="Arial"/>
          <w:sz w:val="24"/>
        </w:rPr>
        <w:t>列示</w:t>
      </w:r>
      <w:r>
        <w:rPr>
          <w:rFonts w:ascii="宋体" w:hAnsi="宋体" w:cs="Arial"/>
          <w:sz w:val="24"/>
        </w:rPr>
        <w:t>如下：</w:t>
      </w:r>
      <w:r>
        <w:rPr>
          <w:rFonts w:ascii="Arial" w:hAnsi="Arial" w:cs="Arial"/>
          <w:sz w:val="18"/>
          <w:szCs w:val="18"/>
        </w:rPr>
        <w:t xml:space="preserve"> </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00"/>
        <w:gridCol w:w="227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tabs>
                <w:tab w:val="left" w:pos="0"/>
              </w:tabs>
              <w:spacing w:line="360" w:lineRule="auto"/>
              <w:rPr>
                <w:rFonts w:ascii="宋体" w:hAnsi="宋体" w:cs="Arial"/>
                <w:bCs/>
                <w:szCs w:val="21"/>
              </w:rPr>
            </w:pPr>
            <w:r>
              <w:rPr>
                <w:rFonts w:ascii="宋体" w:hAnsi="宋体" w:cs="Arial"/>
                <w:bCs/>
                <w:szCs w:val="21"/>
              </w:rPr>
              <w:pict>
                <v:shape id="_x0000_s1026" o:spid="_x0000_s1026" o:spt="32" type="#_x0000_t32" style="position:absolute;left:0pt;flip:y;margin-left:-7.05pt;margin-top:2.25pt;height:43.2pt;width:99.05pt;z-index:251660288;mso-width-relative:page;mso-height-relative:page;" o:connectortype="straight" filled="f" coordsize="21600,21600">
                  <v:path arrowok="t"/>
                  <v:fill on="f" focussize="0,0"/>
                  <v:stroke weight="0pt"/>
                  <v:imagedata o:title=""/>
                  <o:lock v:ext="edit"/>
                </v:shape>
              </w:pict>
            </w:r>
            <w:r>
              <w:rPr>
                <w:rFonts w:hint="eastAsia" w:ascii="宋体" w:hAnsi="宋体" w:cs="Arial"/>
                <w:bCs/>
                <w:szCs w:val="21"/>
              </w:rPr>
              <w:t>缺陷程度</w:t>
            </w:r>
          </w:p>
          <w:p>
            <w:pPr>
              <w:tabs>
                <w:tab w:val="left" w:pos="0"/>
              </w:tabs>
              <w:spacing w:line="360" w:lineRule="auto"/>
              <w:rPr>
                <w:rFonts w:ascii="Arial" w:hAnsi="Arial" w:cs="Arial"/>
                <w:bCs/>
                <w:sz w:val="18"/>
                <w:szCs w:val="18"/>
              </w:rPr>
            </w:pPr>
            <w:r>
              <w:rPr>
                <w:rFonts w:hint="eastAsia" w:ascii="Arial" w:hAnsi="Arial" w:cs="Arial"/>
                <w:bCs/>
                <w:sz w:val="18"/>
                <w:szCs w:val="18"/>
              </w:rPr>
              <w:t xml:space="preserve">         </w:t>
            </w:r>
            <w:r>
              <w:rPr>
                <w:rFonts w:hint="eastAsia" w:ascii="宋体" w:hAnsi="宋体" w:cs="Arial"/>
                <w:bCs/>
                <w:szCs w:val="21"/>
              </w:rPr>
              <w:t>项目</w:t>
            </w:r>
          </w:p>
        </w:tc>
        <w:tc>
          <w:tcPr>
            <w:tcW w:w="2400" w:type="dxa"/>
            <w:tcBorders>
              <w:bottom w:val="single" w:color="auto" w:sz="4" w:space="0"/>
            </w:tcBorders>
            <w:vAlign w:val="center"/>
          </w:tcPr>
          <w:p>
            <w:pPr>
              <w:tabs>
                <w:tab w:val="left" w:pos="0"/>
              </w:tabs>
              <w:spacing w:line="360" w:lineRule="auto"/>
              <w:jc w:val="center"/>
              <w:rPr>
                <w:rFonts w:ascii="Arial" w:hAnsi="Arial" w:cs="Arial"/>
                <w:bCs/>
                <w:sz w:val="18"/>
                <w:szCs w:val="18"/>
              </w:rPr>
            </w:pPr>
            <w:r>
              <w:rPr>
                <w:rFonts w:ascii="宋体" w:hAnsi="宋体" w:cs="Arial"/>
                <w:bCs/>
                <w:szCs w:val="21"/>
              </w:rPr>
              <w:t>一般缺陷</w:t>
            </w:r>
            <w:r>
              <w:rPr>
                <w:rFonts w:hint="eastAsia" w:ascii="宋体" w:hAnsi="MS Gothic" w:eastAsia="MS Gothic" w:cs="MS Gothic"/>
                <w:bCs/>
                <w:szCs w:val="21"/>
              </w:rPr>
              <w:t> </w:t>
            </w:r>
          </w:p>
        </w:tc>
        <w:tc>
          <w:tcPr>
            <w:tcW w:w="2278" w:type="dxa"/>
            <w:tcBorders>
              <w:bottom w:val="single" w:color="auto" w:sz="4" w:space="0"/>
            </w:tcBorders>
            <w:vAlign w:val="center"/>
          </w:tcPr>
          <w:p>
            <w:pPr>
              <w:tabs>
                <w:tab w:val="left" w:pos="0"/>
              </w:tabs>
              <w:spacing w:line="360" w:lineRule="auto"/>
              <w:jc w:val="center"/>
              <w:rPr>
                <w:rFonts w:ascii="Arial" w:hAnsi="Arial" w:cs="Arial"/>
                <w:bCs/>
                <w:sz w:val="18"/>
                <w:szCs w:val="18"/>
              </w:rPr>
            </w:pPr>
            <w:r>
              <w:rPr>
                <w:rFonts w:ascii="宋体" w:hAnsi="宋体" w:cs="Arial"/>
                <w:bCs/>
                <w:szCs w:val="21"/>
              </w:rPr>
              <w:t>重要缺陷</w:t>
            </w:r>
          </w:p>
        </w:tc>
        <w:tc>
          <w:tcPr>
            <w:tcW w:w="2268" w:type="dxa"/>
            <w:tcBorders>
              <w:bottom w:val="single" w:color="auto" w:sz="4" w:space="0"/>
            </w:tcBorders>
            <w:vAlign w:val="center"/>
          </w:tcPr>
          <w:p>
            <w:pPr>
              <w:tabs>
                <w:tab w:val="left" w:pos="0"/>
              </w:tabs>
              <w:spacing w:line="360" w:lineRule="auto"/>
              <w:jc w:val="center"/>
              <w:rPr>
                <w:rFonts w:ascii="Arial" w:hAnsi="Arial" w:cs="Arial"/>
                <w:bCs/>
                <w:sz w:val="18"/>
                <w:szCs w:val="18"/>
              </w:rPr>
            </w:pPr>
            <w:r>
              <w:rPr>
                <w:rFonts w:ascii="宋体" w:hAnsi="宋体" w:cs="Arial"/>
                <w:bCs/>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vAlign w:val="center"/>
          </w:tcPr>
          <w:p>
            <w:pPr>
              <w:tabs>
                <w:tab w:val="left" w:pos="0"/>
              </w:tabs>
              <w:jc w:val="center"/>
              <w:rPr>
                <w:szCs w:val="21"/>
              </w:rPr>
            </w:pPr>
            <w:r>
              <w:rPr>
                <w:rFonts w:hint="eastAsia"/>
                <w:szCs w:val="21"/>
              </w:rPr>
              <w:t>净</w:t>
            </w:r>
            <w:r>
              <w:rPr>
                <w:szCs w:val="21"/>
              </w:rPr>
              <w:t xml:space="preserve">利润潜在错报     </w:t>
            </w:r>
          </w:p>
        </w:tc>
        <w:tc>
          <w:tcPr>
            <w:tcW w:w="2400" w:type="dxa"/>
            <w:shd w:val="clear" w:color="auto" w:fill="auto"/>
            <w:vAlign w:val="center"/>
          </w:tcPr>
          <w:p>
            <w:pPr>
              <w:tabs>
                <w:tab w:val="left" w:pos="0"/>
              </w:tabs>
              <w:rPr>
                <w:color w:val="000000"/>
                <w:szCs w:val="21"/>
              </w:rPr>
            </w:pPr>
            <w:r>
              <w:rPr>
                <w:color w:val="000000"/>
                <w:szCs w:val="21"/>
              </w:rPr>
              <w:t>错报&lt;</w:t>
            </w:r>
            <w:r>
              <w:rPr>
                <w:rFonts w:hint="eastAsia"/>
                <w:color w:val="000000"/>
                <w:szCs w:val="21"/>
              </w:rPr>
              <w:t>净</w:t>
            </w:r>
            <w:r>
              <w:rPr>
                <w:color w:val="000000"/>
                <w:szCs w:val="21"/>
              </w:rPr>
              <w:t>利润的</w:t>
            </w:r>
            <w:r>
              <w:rPr>
                <w:rFonts w:hint="eastAsia"/>
                <w:color w:val="000000"/>
                <w:szCs w:val="21"/>
              </w:rPr>
              <w:t>5</w:t>
            </w:r>
            <w:r>
              <w:rPr>
                <w:color w:val="000000"/>
                <w:szCs w:val="21"/>
              </w:rPr>
              <w:t>%</w:t>
            </w:r>
            <w:r>
              <w:rPr>
                <w:rFonts w:hint="eastAsia"/>
                <w:color w:val="000000"/>
                <w:szCs w:val="21"/>
              </w:rPr>
              <w:t>或错报</w:t>
            </w:r>
            <w:r>
              <w:rPr>
                <w:color w:val="000000"/>
                <w:szCs w:val="21"/>
              </w:rPr>
              <w:t>&lt;</w:t>
            </w:r>
            <w:r>
              <w:rPr>
                <w:rFonts w:hint="eastAsia"/>
                <w:color w:val="000000"/>
                <w:szCs w:val="21"/>
              </w:rPr>
              <w:t>200万元</w:t>
            </w:r>
            <w:r>
              <w:rPr>
                <w:color w:val="000000"/>
                <w:szCs w:val="21"/>
              </w:rPr>
              <w:t xml:space="preserve">  </w:t>
            </w:r>
          </w:p>
        </w:tc>
        <w:tc>
          <w:tcPr>
            <w:tcW w:w="2278" w:type="dxa"/>
            <w:shd w:val="clear" w:color="auto" w:fill="auto"/>
            <w:vAlign w:val="center"/>
          </w:tcPr>
          <w:p>
            <w:pPr>
              <w:tabs>
                <w:tab w:val="left" w:pos="0"/>
              </w:tabs>
              <w:rPr>
                <w:color w:val="000000"/>
                <w:szCs w:val="21"/>
              </w:rPr>
            </w:pPr>
            <w:r>
              <w:rPr>
                <w:rFonts w:hint="eastAsia"/>
                <w:color w:val="000000"/>
                <w:szCs w:val="21"/>
              </w:rPr>
              <w:t>净</w:t>
            </w:r>
            <w:r>
              <w:rPr>
                <w:color w:val="000000"/>
                <w:szCs w:val="21"/>
              </w:rPr>
              <w:t>利润的</w:t>
            </w:r>
            <w:r>
              <w:rPr>
                <w:rFonts w:hint="eastAsia"/>
                <w:color w:val="000000"/>
                <w:szCs w:val="21"/>
              </w:rPr>
              <w:t>5</w:t>
            </w:r>
            <w:r>
              <w:rPr>
                <w:color w:val="000000"/>
                <w:szCs w:val="21"/>
              </w:rPr>
              <w:t>%≤错报        &lt;</w:t>
            </w:r>
            <w:r>
              <w:rPr>
                <w:rFonts w:hint="eastAsia"/>
                <w:color w:val="000000"/>
                <w:szCs w:val="21"/>
              </w:rPr>
              <w:t>净</w:t>
            </w:r>
            <w:r>
              <w:rPr>
                <w:color w:val="000000"/>
                <w:szCs w:val="21"/>
              </w:rPr>
              <w:t>利润的</w:t>
            </w:r>
            <w:r>
              <w:rPr>
                <w:rFonts w:hint="eastAsia"/>
                <w:color w:val="000000"/>
                <w:szCs w:val="21"/>
              </w:rPr>
              <w:t>10</w:t>
            </w:r>
            <w:r>
              <w:rPr>
                <w:color w:val="000000"/>
                <w:szCs w:val="21"/>
              </w:rPr>
              <w:t>%</w:t>
            </w:r>
            <w:r>
              <w:rPr>
                <w:rFonts w:hint="eastAsia"/>
                <w:color w:val="000000"/>
                <w:szCs w:val="21"/>
              </w:rPr>
              <w:t>且错报</w:t>
            </w:r>
            <w:r>
              <w:rPr>
                <w:color w:val="000000"/>
                <w:szCs w:val="21"/>
              </w:rPr>
              <w:t>≥</w:t>
            </w:r>
            <w:r>
              <w:rPr>
                <w:rFonts w:hint="eastAsia"/>
                <w:color w:val="000000"/>
                <w:szCs w:val="21"/>
              </w:rPr>
              <w:t>200万元</w:t>
            </w:r>
            <w:r>
              <w:rPr>
                <w:color w:val="000000"/>
                <w:szCs w:val="21"/>
              </w:rPr>
              <w:t> </w:t>
            </w:r>
          </w:p>
        </w:tc>
        <w:tc>
          <w:tcPr>
            <w:tcW w:w="2268" w:type="dxa"/>
            <w:shd w:val="clear" w:color="auto" w:fill="auto"/>
            <w:vAlign w:val="center"/>
          </w:tcPr>
          <w:p>
            <w:pPr>
              <w:tabs>
                <w:tab w:val="left" w:pos="0"/>
              </w:tabs>
              <w:spacing w:line="360" w:lineRule="auto"/>
              <w:rPr>
                <w:color w:val="000000"/>
                <w:szCs w:val="21"/>
              </w:rPr>
            </w:pPr>
            <w:r>
              <w:rPr>
                <w:color w:val="000000"/>
                <w:szCs w:val="21"/>
              </w:rPr>
              <w:t>错报≥</w:t>
            </w:r>
            <w:r>
              <w:rPr>
                <w:rFonts w:hint="eastAsia"/>
                <w:color w:val="000000"/>
                <w:szCs w:val="21"/>
              </w:rPr>
              <w:t>净</w:t>
            </w:r>
            <w:r>
              <w:rPr>
                <w:color w:val="000000"/>
                <w:szCs w:val="21"/>
              </w:rPr>
              <w:t>利润 的</w:t>
            </w:r>
            <w:r>
              <w:rPr>
                <w:rFonts w:hint="eastAsia"/>
                <w:color w:val="000000"/>
                <w:szCs w:val="21"/>
              </w:rPr>
              <w:t>10</w:t>
            </w:r>
            <w:r>
              <w:rPr>
                <w:color w:val="000000"/>
                <w:szCs w:val="21"/>
              </w:rPr>
              <w:t>%</w:t>
            </w:r>
            <w:r>
              <w:rPr>
                <w:rFonts w:hint="eastAsia"/>
                <w:color w:val="000000"/>
                <w:szCs w:val="21"/>
              </w:rPr>
              <w:t>且错报</w:t>
            </w:r>
            <w:r>
              <w:rPr>
                <w:color w:val="000000"/>
                <w:szCs w:val="21"/>
              </w:rPr>
              <w:t>≥</w:t>
            </w:r>
            <w:r>
              <w:rPr>
                <w:rFonts w:hint="eastAsia"/>
                <w:color w:val="000000"/>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tabs>
                <w:tab w:val="left" w:pos="0"/>
              </w:tabs>
              <w:spacing w:line="360" w:lineRule="auto"/>
              <w:jc w:val="center"/>
              <w:rPr>
                <w:szCs w:val="21"/>
              </w:rPr>
            </w:pPr>
            <w:r>
              <w:rPr>
                <w:color w:val="000000"/>
                <w:szCs w:val="21"/>
              </w:rPr>
              <w:t>资产总额潜在错报</w:t>
            </w:r>
          </w:p>
        </w:tc>
        <w:tc>
          <w:tcPr>
            <w:tcW w:w="2400" w:type="dxa"/>
            <w:shd w:val="clear" w:color="auto" w:fill="auto"/>
            <w:vAlign w:val="center"/>
          </w:tcPr>
          <w:p>
            <w:pPr>
              <w:tabs>
                <w:tab w:val="left" w:pos="0"/>
              </w:tabs>
              <w:spacing w:line="360" w:lineRule="auto"/>
              <w:rPr>
                <w:color w:val="000000"/>
                <w:szCs w:val="21"/>
              </w:rPr>
            </w:pPr>
            <w:r>
              <w:rPr>
                <w:color w:val="000000"/>
                <w:szCs w:val="21"/>
              </w:rPr>
              <w:t>错报&lt;资产总额的</w:t>
            </w:r>
            <w:r>
              <w:rPr>
                <w:rFonts w:hint="eastAsia"/>
                <w:color w:val="000000"/>
                <w:szCs w:val="21"/>
              </w:rPr>
              <w:t>1</w:t>
            </w:r>
            <w:r>
              <w:rPr>
                <w:color w:val="000000"/>
                <w:szCs w:val="21"/>
              </w:rPr>
              <w:t>%</w:t>
            </w:r>
            <w:r>
              <w:rPr>
                <w:rFonts w:hint="eastAsia"/>
                <w:color w:val="000000"/>
                <w:szCs w:val="21"/>
              </w:rPr>
              <w:t>或错报&lt;2,000万元</w:t>
            </w:r>
            <w:r>
              <w:rPr>
                <w:color w:val="000000"/>
                <w:szCs w:val="21"/>
              </w:rPr>
              <w:t xml:space="preserve">  </w:t>
            </w:r>
          </w:p>
        </w:tc>
        <w:tc>
          <w:tcPr>
            <w:tcW w:w="2278" w:type="dxa"/>
            <w:shd w:val="clear" w:color="auto" w:fill="auto"/>
            <w:vAlign w:val="center"/>
          </w:tcPr>
          <w:p>
            <w:pPr>
              <w:tabs>
                <w:tab w:val="left" w:pos="0"/>
              </w:tabs>
              <w:rPr>
                <w:color w:val="000000"/>
                <w:szCs w:val="21"/>
              </w:rPr>
            </w:pPr>
            <w:r>
              <w:rPr>
                <w:color w:val="000000"/>
                <w:szCs w:val="21"/>
              </w:rPr>
              <w:t>资产总额的</w:t>
            </w:r>
            <w:r>
              <w:rPr>
                <w:rFonts w:hint="eastAsia"/>
                <w:color w:val="000000"/>
                <w:szCs w:val="21"/>
              </w:rPr>
              <w:t>1</w:t>
            </w:r>
            <w:r>
              <w:rPr>
                <w:color w:val="000000"/>
                <w:szCs w:val="21"/>
              </w:rPr>
              <w:t>%≤错报&lt;资产总额的</w:t>
            </w:r>
            <w:r>
              <w:rPr>
                <w:rFonts w:hint="eastAsia"/>
                <w:color w:val="000000"/>
                <w:szCs w:val="21"/>
              </w:rPr>
              <w:t>5</w:t>
            </w:r>
            <w:r>
              <w:rPr>
                <w:color w:val="000000"/>
                <w:szCs w:val="21"/>
              </w:rPr>
              <w:t>%</w:t>
            </w:r>
            <w:r>
              <w:rPr>
                <w:rFonts w:hint="eastAsia"/>
                <w:color w:val="000000"/>
                <w:szCs w:val="21"/>
              </w:rPr>
              <w:t>且错报</w:t>
            </w:r>
            <w:r>
              <w:rPr>
                <w:color w:val="000000"/>
                <w:szCs w:val="21"/>
              </w:rPr>
              <w:t>≥</w:t>
            </w:r>
            <w:r>
              <w:rPr>
                <w:rFonts w:hint="eastAsia"/>
                <w:color w:val="000000"/>
                <w:szCs w:val="21"/>
              </w:rPr>
              <w:t>2,000万元</w:t>
            </w:r>
            <w:r>
              <w:rPr>
                <w:color w:val="000000"/>
                <w:szCs w:val="21"/>
              </w:rPr>
              <w:t xml:space="preserve">                                                  </w:t>
            </w:r>
          </w:p>
        </w:tc>
        <w:tc>
          <w:tcPr>
            <w:tcW w:w="2268" w:type="dxa"/>
            <w:shd w:val="clear" w:color="auto" w:fill="auto"/>
            <w:vAlign w:val="center"/>
          </w:tcPr>
          <w:p>
            <w:pPr>
              <w:tabs>
                <w:tab w:val="left" w:pos="0"/>
              </w:tabs>
              <w:spacing w:line="360" w:lineRule="auto"/>
              <w:rPr>
                <w:color w:val="000000"/>
                <w:szCs w:val="21"/>
              </w:rPr>
            </w:pPr>
            <w:r>
              <w:rPr>
                <w:color w:val="000000"/>
                <w:szCs w:val="21"/>
              </w:rPr>
              <w:t>错报≥资产总额的</w:t>
            </w:r>
            <w:r>
              <w:rPr>
                <w:rFonts w:hint="eastAsia"/>
                <w:color w:val="000000"/>
                <w:szCs w:val="21"/>
              </w:rPr>
              <w:t>5</w:t>
            </w:r>
            <w:r>
              <w:rPr>
                <w:color w:val="000000"/>
                <w:szCs w:val="21"/>
              </w:rPr>
              <w:t>%</w:t>
            </w:r>
            <w:r>
              <w:rPr>
                <w:rFonts w:hint="eastAsia"/>
                <w:color w:val="000000"/>
                <w:szCs w:val="21"/>
              </w:rPr>
              <w:t>且错报</w:t>
            </w:r>
            <w:r>
              <w:rPr>
                <w:color w:val="000000"/>
                <w:szCs w:val="21"/>
              </w:rPr>
              <w:t>≥</w:t>
            </w:r>
            <w:r>
              <w:rPr>
                <w:rFonts w:hint="eastAsia"/>
                <w:color w:val="000000"/>
                <w:szCs w:val="21"/>
              </w:rPr>
              <w:t>5,000万元</w:t>
            </w:r>
          </w:p>
        </w:tc>
      </w:tr>
    </w:tbl>
    <w:p>
      <w:pPr>
        <w:tabs>
          <w:tab w:val="left" w:pos="0"/>
        </w:tabs>
        <w:rPr>
          <w:sz w:val="18"/>
          <w:szCs w:val="18"/>
        </w:rPr>
      </w:pPr>
      <w:r>
        <w:rPr>
          <w:rFonts w:hint="eastAsia" w:ascii="宋体" w:hAnsi="MS Gothic" w:eastAsia="MS Gothic" w:cs="MS Gothic"/>
          <w:sz w:val="18"/>
          <w:szCs w:val="18"/>
        </w:rPr>
        <w:t> </w:t>
      </w:r>
      <w:r>
        <w:rPr>
          <w:sz w:val="18"/>
          <w:szCs w:val="18"/>
        </w:rPr>
        <w:t xml:space="preserve">                                                             </w:t>
      </w:r>
    </w:p>
    <w:p>
      <w:pPr>
        <w:tabs>
          <w:tab w:val="left" w:pos="0"/>
        </w:tabs>
        <w:spacing w:line="360" w:lineRule="auto"/>
        <w:ind w:firstLine="465"/>
        <w:rPr>
          <w:rFonts w:eastAsiaTheme="minorEastAsia"/>
          <w:bCs/>
          <w:sz w:val="24"/>
        </w:rPr>
      </w:pPr>
      <w:r>
        <w:rPr>
          <w:rFonts w:hint="eastAsia"/>
          <w:b/>
          <w:bCs/>
          <w:sz w:val="24"/>
        </w:rPr>
        <w:t xml:space="preserve">二、 </w:t>
      </w:r>
      <w:r>
        <w:rPr>
          <w:b/>
          <w:bCs/>
          <w:sz w:val="24"/>
        </w:rPr>
        <w:t>非财务报告内部控制缺陷的认定标准</w:t>
      </w:r>
      <w:r>
        <w:rPr>
          <w:rFonts w:eastAsia="MS Gothic"/>
          <w:bCs/>
          <w:sz w:val="24"/>
        </w:rPr>
        <w:t> </w:t>
      </w:r>
    </w:p>
    <w:p>
      <w:pPr>
        <w:tabs>
          <w:tab w:val="left" w:pos="0"/>
        </w:tabs>
        <w:spacing w:line="360" w:lineRule="auto"/>
        <w:ind w:firstLine="465"/>
        <w:rPr>
          <w:rFonts w:eastAsiaTheme="minorEastAsia"/>
          <w:bCs/>
          <w:sz w:val="24"/>
        </w:rPr>
      </w:pPr>
      <w:r>
        <w:rPr>
          <w:rFonts w:hint="eastAsia"/>
          <w:sz w:val="24"/>
        </w:rPr>
        <w:t xml:space="preserve"> 1、</w:t>
      </w:r>
      <w:r>
        <w:rPr>
          <w:bCs/>
          <w:sz w:val="24"/>
        </w:rPr>
        <w:t>定性标准</w:t>
      </w:r>
    </w:p>
    <w:p>
      <w:pPr>
        <w:tabs>
          <w:tab w:val="left" w:pos="0"/>
        </w:tabs>
        <w:spacing w:line="360" w:lineRule="auto"/>
        <w:ind w:firstLine="465"/>
        <w:rPr>
          <w:rFonts w:eastAsia="MS Gothic"/>
          <w:bCs/>
          <w:sz w:val="24"/>
        </w:rPr>
      </w:pPr>
      <w:r>
        <w:rPr>
          <w:rFonts w:hint="eastAsia"/>
          <w:bCs/>
          <w:sz w:val="24"/>
        </w:rPr>
        <w:t>表明公司可能存在非财务报告内部控制缺陷的迹象列示如下：</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0"/>
              </w:tabs>
              <w:spacing w:line="360" w:lineRule="auto"/>
              <w:jc w:val="center"/>
              <w:rPr>
                <w:rFonts w:ascii="宋体" w:hAnsi="宋体" w:cs="Arial"/>
                <w:bCs/>
                <w:szCs w:val="21"/>
              </w:rPr>
            </w:pPr>
            <w:r>
              <w:rPr>
                <w:rFonts w:hint="eastAsia" w:ascii="宋体" w:hAnsi="宋体" w:cs="Arial"/>
                <w:bCs/>
                <w:szCs w:val="21"/>
              </w:rPr>
              <w:t>缺陷程度</w:t>
            </w:r>
          </w:p>
        </w:tc>
        <w:tc>
          <w:tcPr>
            <w:tcW w:w="7786" w:type="dxa"/>
          </w:tcPr>
          <w:p>
            <w:pPr>
              <w:tabs>
                <w:tab w:val="left" w:pos="0"/>
              </w:tabs>
              <w:spacing w:line="360" w:lineRule="auto"/>
              <w:jc w:val="center"/>
              <w:rPr>
                <w:rFonts w:ascii="宋体" w:hAnsi="宋体" w:cs="Arial"/>
                <w:bCs/>
                <w:szCs w:val="21"/>
              </w:rPr>
            </w:pPr>
            <w:r>
              <w:rPr>
                <w:rFonts w:hint="eastAsia" w:ascii="宋体" w:hAnsi="宋体" w:cs="Arial"/>
                <w:bCs/>
                <w:szCs w:val="21"/>
              </w:rPr>
              <w:t>缺陷迹象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0"/>
              </w:tabs>
              <w:spacing w:line="360" w:lineRule="auto"/>
              <w:jc w:val="center"/>
              <w:rPr>
                <w:rFonts w:ascii="宋体" w:hAnsi="宋体" w:cs="Arial"/>
                <w:bCs/>
                <w:szCs w:val="21"/>
              </w:rPr>
            </w:pPr>
            <w:r>
              <w:rPr>
                <w:rFonts w:ascii="宋体" w:hAnsi="宋体" w:cs="Arial"/>
                <w:bCs/>
                <w:szCs w:val="21"/>
              </w:rPr>
              <w:t>重大缺陷</w:t>
            </w:r>
          </w:p>
        </w:tc>
        <w:tc>
          <w:tcPr>
            <w:tcW w:w="7786" w:type="dxa"/>
          </w:tcPr>
          <w:p>
            <w:pPr>
              <w:tabs>
                <w:tab w:val="left" w:pos="0"/>
              </w:tabs>
              <w:rPr>
                <w:color w:val="000000"/>
                <w:szCs w:val="21"/>
              </w:rPr>
            </w:pPr>
            <w:r>
              <w:rPr>
                <w:rFonts w:hint="eastAsia"/>
                <w:color w:val="000000"/>
                <w:szCs w:val="21"/>
              </w:rPr>
              <w:t>（1）违反公司</w:t>
            </w:r>
            <w:r>
              <w:rPr>
                <w:color w:val="000000"/>
                <w:szCs w:val="21"/>
              </w:rPr>
              <w:t>决策程序导致重大</w:t>
            </w:r>
            <w:r>
              <w:rPr>
                <w:rFonts w:hint="eastAsia"/>
                <w:color w:val="000000"/>
                <w:szCs w:val="21"/>
              </w:rPr>
              <w:t>决策</w:t>
            </w:r>
            <w:r>
              <w:rPr>
                <w:color w:val="000000"/>
                <w:szCs w:val="21"/>
              </w:rPr>
              <w:t xml:space="preserve">失误；        </w:t>
            </w:r>
          </w:p>
          <w:p>
            <w:pPr>
              <w:tabs>
                <w:tab w:val="left" w:pos="0"/>
              </w:tabs>
              <w:rPr>
                <w:color w:val="000000"/>
                <w:szCs w:val="21"/>
              </w:rPr>
            </w:pPr>
            <w:r>
              <w:rPr>
                <w:rFonts w:hint="eastAsia"/>
                <w:color w:val="000000"/>
                <w:szCs w:val="21"/>
              </w:rPr>
              <w:t>（2）严重</w:t>
            </w:r>
            <w:r>
              <w:rPr>
                <w:color w:val="000000"/>
                <w:szCs w:val="21"/>
              </w:rPr>
              <w:t>违反国家法律法规并受到</w:t>
            </w:r>
            <w:r>
              <w:rPr>
                <w:rFonts w:hint="eastAsia"/>
                <w:color w:val="000000"/>
                <w:szCs w:val="21"/>
              </w:rPr>
              <w:t>国家政府部门行政</w:t>
            </w:r>
            <w:r>
              <w:rPr>
                <w:color w:val="000000"/>
                <w:szCs w:val="21"/>
              </w:rPr>
              <w:t>处罚</w:t>
            </w:r>
            <w:r>
              <w:rPr>
                <w:rFonts w:hint="eastAsia"/>
                <w:color w:val="000000"/>
                <w:szCs w:val="21"/>
              </w:rPr>
              <w:t>或证券交易所公开谴责</w:t>
            </w:r>
            <w:r>
              <w:rPr>
                <w:color w:val="000000"/>
                <w:szCs w:val="21"/>
              </w:rPr>
              <w:t>；       </w:t>
            </w:r>
          </w:p>
          <w:p>
            <w:pPr>
              <w:tabs>
                <w:tab w:val="left" w:pos="0"/>
              </w:tabs>
              <w:rPr>
                <w:color w:val="000000"/>
                <w:szCs w:val="21"/>
              </w:rPr>
            </w:pPr>
            <w:r>
              <w:rPr>
                <w:rFonts w:hint="eastAsia"/>
                <w:color w:val="000000"/>
                <w:szCs w:val="21"/>
              </w:rPr>
              <w:t>（3）</w:t>
            </w:r>
            <w:r>
              <w:rPr>
                <w:color w:val="000000"/>
                <w:szCs w:val="21"/>
              </w:rPr>
              <w:t>公司董、监、高高级管理人员及主要技术人</w:t>
            </w:r>
            <w:r>
              <w:rPr>
                <w:rFonts w:hint="eastAsia"/>
                <w:color w:val="000000"/>
                <w:szCs w:val="21"/>
              </w:rPr>
              <w:t>员</w:t>
            </w:r>
            <w:r>
              <w:rPr>
                <w:color w:val="000000"/>
                <w:szCs w:val="21"/>
              </w:rPr>
              <w:t xml:space="preserve">发生非正常重大变化；        </w:t>
            </w:r>
          </w:p>
          <w:p>
            <w:pPr>
              <w:tabs>
                <w:tab w:val="left" w:pos="0"/>
              </w:tabs>
              <w:rPr>
                <w:color w:val="000000"/>
                <w:szCs w:val="21"/>
              </w:rPr>
            </w:pPr>
            <w:r>
              <w:rPr>
                <w:rFonts w:hint="eastAsia"/>
                <w:color w:val="000000"/>
                <w:szCs w:val="21"/>
              </w:rPr>
              <w:t>（4）</w:t>
            </w:r>
            <w:r>
              <w:rPr>
                <w:color w:val="000000"/>
                <w:szCs w:val="21"/>
              </w:rPr>
              <w:t>媒体频现恶性负面新闻，涉及面广且负面影响一直未能消除；      </w:t>
            </w:r>
          </w:p>
          <w:p>
            <w:pPr>
              <w:tabs>
                <w:tab w:val="left" w:pos="0"/>
              </w:tabs>
              <w:rPr>
                <w:color w:val="000000"/>
                <w:szCs w:val="21"/>
              </w:rPr>
            </w:pPr>
            <w:r>
              <w:rPr>
                <w:rFonts w:hint="eastAsia"/>
                <w:color w:val="000000"/>
                <w:szCs w:val="21"/>
              </w:rPr>
              <w:t>（5）</w:t>
            </w:r>
            <w:r>
              <w:rPr>
                <w:color w:val="000000"/>
                <w:szCs w:val="21"/>
              </w:rPr>
              <w:t>公司重要业务缺乏制度控制或制度体系失效；       </w:t>
            </w:r>
          </w:p>
          <w:p>
            <w:pPr>
              <w:tabs>
                <w:tab w:val="left" w:pos="0"/>
              </w:tabs>
              <w:rPr>
                <w:color w:val="000000"/>
                <w:szCs w:val="21"/>
              </w:rPr>
            </w:pPr>
            <w:r>
              <w:rPr>
                <w:rFonts w:hint="eastAsia"/>
                <w:color w:val="000000"/>
                <w:szCs w:val="21"/>
              </w:rPr>
              <w:t>（6）</w:t>
            </w:r>
            <w:r>
              <w:rPr>
                <w:color w:val="000000"/>
                <w:szCs w:val="21"/>
              </w:rPr>
              <w:t>公司内部控制重大缺陷未得到整改；       </w:t>
            </w:r>
          </w:p>
          <w:p>
            <w:pPr>
              <w:rPr>
                <w:color w:val="000000"/>
                <w:szCs w:val="21"/>
              </w:rPr>
            </w:pPr>
            <w:r>
              <w:rPr>
                <w:rFonts w:hint="eastAsia"/>
                <w:color w:val="000000"/>
                <w:szCs w:val="21"/>
              </w:rPr>
              <w:t>（7）造成重大安全责任事故；</w:t>
            </w:r>
          </w:p>
          <w:p>
            <w:pPr>
              <w:rPr>
                <w:rFonts w:ascii="宋体" w:hAnsi="宋体" w:cs="Arial"/>
                <w:bCs/>
                <w:szCs w:val="21"/>
              </w:rPr>
            </w:pPr>
            <w:r>
              <w:rPr>
                <w:rFonts w:hint="eastAsia"/>
                <w:color w:val="000000"/>
                <w:szCs w:val="21"/>
              </w:rPr>
              <w:t>（8</w:t>
            </w:r>
            <w:r>
              <w:rPr>
                <w:rFonts w:hint="eastAsia" w:ascii="宋体" w:hAnsi="宋体" w:cs="Arial"/>
                <w:bCs/>
                <w:szCs w:val="21"/>
              </w:rPr>
              <w:t>）其他对公司有重大不利影响的情形。</w:t>
            </w:r>
            <w:r>
              <w:rPr>
                <w:rFonts w:ascii="宋体" w:hAnsi="宋体" w:cs="Arial"/>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0"/>
              </w:tabs>
              <w:spacing w:line="360" w:lineRule="auto"/>
              <w:jc w:val="center"/>
              <w:rPr>
                <w:bCs/>
                <w:szCs w:val="21"/>
              </w:rPr>
            </w:pPr>
            <w:r>
              <w:rPr>
                <w:bCs/>
                <w:szCs w:val="21"/>
              </w:rPr>
              <w:t>重要缺陷</w:t>
            </w:r>
          </w:p>
        </w:tc>
        <w:tc>
          <w:tcPr>
            <w:tcW w:w="7786" w:type="dxa"/>
          </w:tcPr>
          <w:p>
            <w:pPr>
              <w:tabs>
                <w:tab w:val="left" w:pos="0"/>
              </w:tabs>
              <w:rPr>
                <w:szCs w:val="21"/>
              </w:rPr>
            </w:pPr>
            <w:r>
              <w:rPr>
                <w:rFonts w:hint="eastAsia"/>
                <w:color w:val="000000"/>
                <w:szCs w:val="21"/>
              </w:rPr>
              <w:t>（1）违反公司</w:t>
            </w:r>
            <w:r>
              <w:rPr>
                <w:color w:val="000000"/>
                <w:szCs w:val="21"/>
              </w:rPr>
              <w:t>决策程序导致出现一般</w:t>
            </w:r>
            <w:r>
              <w:rPr>
                <w:rFonts w:hint="eastAsia"/>
                <w:color w:val="000000"/>
                <w:szCs w:val="21"/>
              </w:rPr>
              <w:t>决策</w:t>
            </w:r>
            <w:r>
              <w:rPr>
                <w:color w:val="000000"/>
                <w:szCs w:val="21"/>
              </w:rPr>
              <w:t>失误；</w:t>
            </w:r>
            <w:r>
              <w:rPr>
                <w:rFonts w:eastAsia="MS Gothic"/>
                <w:szCs w:val="21"/>
              </w:rPr>
              <w:t>     </w:t>
            </w:r>
            <w:r>
              <w:rPr>
                <w:szCs w:val="21"/>
              </w:rPr>
              <w:t xml:space="preserve"> </w:t>
            </w:r>
          </w:p>
          <w:p>
            <w:pPr>
              <w:tabs>
                <w:tab w:val="left" w:pos="0"/>
              </w:tabs>
              <w:rPr>
                <w:szCs w:val="21"/>
              </w:rPr>
            </w:pPr>
            <w:r>
              <w:rPr>
                <w:rFonts w:hint="eastAsia"/>
                <w:szCs w:val="21"/>
              </w:rPr>
              <w:t>（2）</w:t>
            </w:r>
            <w:r>
              <w:rPr>
                <w:szCs w:val="21"/>
              </w:rPr>
              <w:t>公司重要业务制度或系统存在缺陷；</w:t>
            </w:r>
            <w:r>
              <w:rPr>
                <w:rFonts w:eastAsia="MS Gothic"/>
                <w:szCs w:val="21"/>
              </w:rPr>
              <w:t>     </w:t>
            </w:r>
          </w:p>
          <w:p>
            <w:pPr>
              <w:tabs>
                <w:tab w:val="left" w:pos="0"/>
              </w:tabs>
              <w:rPr>
                <w:szCs w:val="21"/>
              </w:rPr>
            </w:pPr>
            <w:r>
              <w:rPr>
                <w:rFonts w:hint="eastAsia"/>
                <w:szCs w:val="21"/>
              </w:rPr>
              <w:t>（3）</w:t>
            </w:r>
            <w:r>
              <w:rPr>
                <w:szCs w:val="21"/>
              </w:rPr>
              <w:t>违反国家法律法规并受到</w:t>
            </w:r>
            <w:r>
              <w:rPr>
                <w:rFonts w:hint="eastAsia"/>
                <w:szCs w:val="21"/>
              </w:rPr>
              <w:t>省级以上政府部门行政处罚或</w:t>
            </w:r>
            <w:r>
              <w:rPr>
                <w:color w:val="000000"/>
                <w:szCs w:val="21"/>
              </w:rPr>
              <w:t>证券交易所通报批评</w:t>
            </w:r>
            <w:r>
              <w:rPr>
                <w:szCs w:val="21"/>
              </w:rPr>
              <w:t>；</w:t>
            </w:r>
          </w:p>
          <w:p>
            <w:pPr>
              <w:tabs>
                <w:tab w:val="left" w:pos="0"/>
              </w:tabs>
              <w:rPr>
                <w:szCs w:val="21"/>
              </w:rPr>
            </w:pPr>
            <w:r>
              <w:rPr>
                <w:rFonts w:hint="eastAsia"/>
                <w:szCs w:val="21"/>
              </w:rPr>
              <w:t>（4）</w:t>
            </w:r>
            <w:r>
              <w:rPr>
                <w:szCs w:val="21"/>
              </w:rPr>
              <w:t>公司关键岗位业务人员流失严重；</w:t>
            </w:r>
            <w:r>
              <w:rPr>
                <w:rFonts w:eastAsia="MS Gothic"/>
                <w:szCs w:val="21"/>
              </w:rPr>
              <w:t>    </w:t>
            </w:r>
          </w:p>
          <w:p>
            <w:pPr>
              <w:tabs>
                <w:tab w:val="left" w:pos="0"/>
              </w:tabs>
              <w:rPr>
                <w:szCs w:val="21"/>
              </w:rPr>
            </w:pPr>
            <w:r>
              <w:rPr>
                <w:rFonts w:hint="eastAsia"/>
                <w:szCs w:val="21"/>
              </w:rPr>
              <w:t>（5）</w:t>
            </w:r>
            <w:r>
              <w:rPr>
                <w:szCs w:val="21"/>
              </w:rPr>
              <w:t>媒体出现负面新闻，波及局部区域，影响较大；</w:t>
            </w:r>
            <w:r>
              <w:rPr>
                <w:rFonts w:eastAsia="MS Gothic"/>
                <w:szCs w:val="21"/>
              </w:rPr>
              <w:t>     </w:t>
            </w:r>
          </w:p>
          <w:p>
            <w:pPr>
              <w:tabs>
                <w:tab w:val="left" w:pos="0"/>
              </w:tabs>
              <w:rPr>
                <w:szCs w:val="21"/>
              </w:rPr>
            </w:pPr>
            <w:r>
              <w:rPr>
                <w:rFonts w:hint="eastAsia"/>
                <w:color w:val="000000"/>
                <w:szCs w:val="21"/>
              </w:rPr>
              <w:t>（6）造成较重大的安全责任事故</w:t>
            </w:r>
            <w:r>
              <w:rPr>
                <w:color w:val="000000"/>
                <w:szCs w:val="21"/>
              </w:rPr>
              <w:t>；</w:t>
            </w:r>
          </w:p>
          <w:p>
            <w:pPr>
              <w:rPr>
                <w:szCs w:val="21"/>
              </w:rPr>
            </w:pPr>
            <w:r>
              <w:rPr>
                <w:rFonts w:hint="eastAsia"/>
                <w:szCs w:val="21"/>
              </w:rPr>
              <w:t>（7）</w:t>
            </w:r>
            <w:r>
              <w:rPr>
                <w:szCs w:val="21"/>
              </w:rPr>
              <w:t>公司内部控制重要缺陷未得到整改</w:t>
            </w:r>
            <w:r>
              <w:rPr>
                <w:rFonts w:hint="eastAsia"/>
                <w:szCs w:val="21"/>
              </w:rPr>
              <w:t>；</w:t>
            </w:r>
          </w:p>
          <w:p>
            <w:pPr>
              <w:rPr>
                <w:bCs/>
                <w:szCs w:val="21"/>
              </w:rPr>
            </w:pPr>
            <w:r>
              <w:rPr>
                <w:rFonts w:hint="eastAsia"/>
                <w:color w:val="000000"/>
                <w:szCs w:val="21"/>
              </w:rPr>
              <w:t>（8）其他对公司有较大不利影响的情形。</w:t>
            </w:r>
            <w:r>
              <w:rPr>
                <w:rFonts w:eastAsia="MS Gothic"/>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0"/>
              </w:tabs>
              <w:spacing w:line="360" w:lineRule="auto"/>
              <w:jc w:val="center"/>
              <w:rPr>
                <w:bCs/>
                <w:szCs w:val="21"/>
              </w:rPr>
            </w:pPr>
            <w:r>
              <w:rPr>
                <w:bCs/>
                <w:szCs w:val="21"/>
              </w:rPr>
              <w:t>一般缺陷</w:t>
            </w:r>
          </w:p>
        </w:tc>
        <w:tc>
          <w:tcPr>
            <w:tcW w:w="7786" w:type="dxa"/>
            <w:vAlign w:val="center"/>
          </w:tcPr>
          <w:p>
            <w:pPr>
              <w:tabs>
                <w:tab w:val="left" w:pos="0"/>
              </w:tabs>
              <w:rPr>
                <w:bCs/>
                <w:szCs w:val="21"/>
              </w:rPr>
            </w:pPr>
            <w:r>
              <w:rPr>
                <w:bCs/>
                <w:szCs w:val="21"/>
              </w:rPr>
              <w:t>除上述重大缺陷、重要缺陷之外的其他控制缺陷</w:t>
            </w:r>
            <w:r>
              <w:rPr>
                <w:rFonts w:hint="eastAsia"/>
                <w:bCs/>
                <w:szCs w:val="21"/>
              </w:rPr>
              <w:t>。</w:t>
            </w:r>
          </w:p>
        </w:tc>
      </w:tr>
    </w:tbl>
    <w:p>
      <w:pPr>
        <w:tabs>
          <w:tab w:val="left" w:pos="0"/>
        </w:tabs>
        <w:rPr>
          <w:rFonts w:ascii="Arial" w:hAnsi="Arial" w:cs="Arial"/>
          <w:sz w:val="24"/>
        </w:rPr>
      </w:pPr>
      <w:r>
        <w:rPr>
          <w:rFonts w:eastAsia="MS Gothic"/>
          <w:sz w:val="24"/>
        </w:rPr>
        <w:t> </w:t>
      </w:r>
    </w:p>
    <w:p>
      <w:pPr>
        <w:tabs>
          <w:tab w:val="left" w:pos="0"/>
        </w:tabs>
        <w:ind w:firstLine="480" w:firstLineChars="200"/>
        <w:rPr>
          <w:rFonts w:ascii="Arial" w:hAnsi="Arial" w:cs="Arial"/>
          <w:sz w:val="24"/>
        </w:rPr>
      </w:pPr>
      <w:r>
        <w:rPr>
          <w:rFonts w:hint="eastAsia"/>
          <w:bCs/>
          <w:sz w:val="24"/>
        </w:rPr>
        <w:t>2、</w:t>
      </w:r>
      <w:r>
        <w:rPr>
          <w:rFonts w:hint="eastAsia" w:ascii="Arial" w:hAnsi="Arial" w:cs="Arial"/>
          <w:sz w:val="24"/>
        </w:rPr>
        <w:t>非财务报告</w:t>
      </w:r>
      <w:r>
        <w:rPr>
          <w:rFonts w:hint="eastAsia" w:ascii="宋体" w:hAnsi="宋体" w:cs="Arial"/>
          <w:sz w:val="24"/>
        </w:rPr>
        <w:t>内部控制缺陷定量标准采用可能导致或已导致的</w:t>
      </w:r>
      <w:r>
        <w:rPr>
          <w:rFonts w:ascii="Arial" w:hAnsi="Arial" w:cs="Arial"/>
          <w:sz w:val="24"/>
        </w:rPr>
        <w:t>直接</w:t>
      </w:r>
      <w:r>
        <w:rPr>
          <w:rFonts w:hint="eastAsia" w:ascii="Arial" w:hAnsi="Arial" w:cs="Arial"/>
          <w:sz w:val="24"/>
        </w:rPr>
        <w:t>经济</w:t>
      </w:r>
      <w:r>
        <w:rPr>
          <w:rFonts w:ascii="Arial" w:hAnsi="Arial" w:cs="Arial"/>
          <w:sz w:val="24"/>
        </w:rPr>
        <w:t>损失</w:t>
      </w:r>
      <w:r>
        <w:rPr>
          <w:rFonts w:hint="eastAsia" w:ascii="Arial" w:hAnsi="Arial" w:cs="Arial"/>
          <w:sz w:val="24"/>
        </w:rPr>
        <w:t>衡量，公司确定的非财务报告</w:t>
      </w:r>
      <w:r>
        <w:rPr>
          <w:rFonts w:hint="eastAsia" w:ascii="宋体" w:hAnsi="宋体" w:cs="Arial"/>
          <w:sz w:val="24"/>
        </w:rPr>
        <w:t>内部控制缺陷认定的</w:t>
      </w:r>
      <w:r>
        <w:rPr>
          <w:rFonts w:hint="eastAsia" w:ascii="Arial" w:hAnsi="Arial" w:cs="Arial"/>
          <w:sz w:val="24"/>
        </w:rPr>
        <w:t>定量标准列示如下：</w:t>
      </w:r>
      <w:r>
        <w:rPr>
          <w:rFonts w:hint="eastAsia" w:ascii="MS Gothic" w:hAnsi="MS Gothic" w:eastAsia="MS Gothic" w:cs="MS Gothic"/>
          <w:sz w:val="18"/>
          <w:szCs w:val="18"/>
        </w:rPr>
        <w:t>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0"/>
              </w:tabs>
              <w:rPr>
                <w:rFonts w:ascii="宋体" w:hAnsi="宋体" w:cs="Arial"/>
                <w:szCs w:val="21"/>
              </w:rPr>
            </w:pPr>
            <w:r>
              <w:rPr>
                <w:rFonts w:ascii="宋体" w:hAnsi="宋体" w:cs="Arial"/>
                <w:szCs w:val="21"/>
              </w:rPr>
              <w:pict>
                <v:shape id="_x0000_s1027" o:spid="_x0000_s1027" o:spt="32" type="#_x0000_t32" style="position:absolute;left:0pt;flip:y;margin-left:-5.4pt;margin-top:1.05pt;height:29.55pt;width:106.65pt;z-index:251661312;mso-width-relative:page;mso-height-relative:page;" o:connectortype="straight" filled="f" coordsize="21600,21600">
                  <v:path arrowok="t"/>
                  <v:fill on="f" focussize="0,0"/>
                  <v:stroke weight="0pt"/>
                  <v:imagedata o:title=""/>
                  <o:lock v:ext="edit"/>
                </v:shape>
              </w:pict>
            </w:r>
            <w:r>
              <w:rPr>
                <w:rFonts w:hint="eastAsia" w:ascii="宋体" w:hAnsi="宋体" w:cs="Arial"/>
                <w:szCs w:val="21"/>
              </w:rPr>
              <w:t>缺陷程度</w:t>
            </w:r>
          </w:p>
          <w:p>
            <w:pPr>
              <w:tabs>
                <w:tab w:val="left" w:pos="0"/>
              </w:tabs>
              <w:rPr>
                <w:rFonts w:ascii="MS Gothic" w:hAnsi="MS Gothic" w:cs="MS Gothic"/>
                <w:szCs w:val="21"/>
              </w:rPr>
            </w:pPr>
            <w:r>
              <w:rPr>
                <w:rFonts w:hint="eastAsia" w:ascii="MS Gothic" w:hAnsi="MS Gothic" w:cs="MS Gothic"/>
                <w:szCs w:val="21"/>
              </w:rPr>
              <w:t xml:space="preserve">          项目</w:t>
            </w:r>
          </w:p>
        </w:tc>
        <w:tc>
          <w:tcPr>
            <w:tcW w:w="2130" w:type="dxa"/>
            <w:vAlign w:val="center"/>
          </w:tcPr>
          <w:p>
            <w:pPr>
              <w:tabs>
                <w:tab w:val="left" w:pos="0"/>
              </w:tabs>
              <w:jc w:val="center"/>
              <w:rPr>
                <w:rFonts w:ascii="MS Gothic" w:hAnsi="MS Gothic" w:eastAsia="MS Gothic" w:cs="MS Gothic"/>
                <w:szCs w:val="21"/>
              </w:rPr>
            </w:pPr>
            <w:r>
              <w:rPr>
                <w:rFonts w:ascii="宋体" w:hAnsi="宋体" w:cs="Arial"/>
                <w:color w:val="000000"/>
                <w:szCs w:val="21"/>
              </w:rPr>
              <w:t>一般缺陷</w:t>
            </w:r>
            <w:r>
              <w:rPr>
                <w:rFonts w:hint="eastAsia" w:ascii="宋体" w:hAnsi="MS Gothic" w:eastAsia="MS Gothic" w:cs="MS Gothic"/>
                <w:color w:val="000000"/>
                <w:szCs w:val="21"/>
              </w:rPr>
              <w:t> </w:t>
            </w:r>
          </w:p>
        </w:tc>
        <w:tc>
          <w:tcPr>
            <w:tcW w:w="2131" w:type="dxa"/>
            <w:vAlign w:val="center"/>
          </w:tcPr>
          <w:p>
            <w:pPr>
              <w:tabs>
                <w:tab w:val="left" w:pos="0"/>
              </w:tabs>
              <w:jc w:val="center"/>
              <w:rPr>
                <w:rFonts w:ascii="MS Gothic" w:hAnsi="MS Gothic" w:eastAsia="MS Gothic" w:cs="MS Gothic"/>
                <w:szCs w:val="21"/>
              </w:rPr>
            </w:pPr>
            <w:r>
              <w:rPr>
                <w:rFonts w:ascii="宋体" w:hAnsi="宋体" w:cs="Arial"/>
                <w:color w:val="000000"/>
                <w:szCs w:val="21"/>
              </w:rPr>
              <w:t>重要缺陷</w:t>
            </w:r>
          </w:p>
        </w:tc>
        <w:tc>
          <w:tcPr>
            <w:tcW w:w="2131" w:type="dxa"/>
            <w:vAlign w:val="center"/>
          </w:tcPr>
          <w:p>
            <w:pPr>
              <w:tabs>
                <w:tab w:val="left" w:pos="0"/>
              </w:tabs>
              <w:jc w:val="center"/>
              <w:rPr>
                <w:rFonts w:ascii="MS Gothic" w:hAnsi="MS Gothic" w:eastAsia="MS Gothic" w:cs="MS Gothic"/>
                <w:szCs w:val="21"/>
              </w:rPr>
            </w:pPr>
            <w:r>
              <w:rPr>
                <w:rFonts w:ascii="宋体" w:hAnsi="宋体" w:cs="Arial"/>
                <w:color w:val="000000"/>
                <w:szCs w:val="21"/>
              </w:rPr>
              <w:t>重大缺陷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130" w:type="dxa"/>
            <w:vAlign w:val="center"/>
          </w:tcPr>
          <w:p>
            <w:pPr>
              <w:tabs>
                <w:tab w:val="left" w:pos="0"/>
              </w:tabs>
              <w:jc w:val="center"/>
              <w:rPr>
                <w:rFonts w:ascii="MS Gothic" w:hAnsi="MS Gothic" w:eastAsia="MS Gothic" w:cs="MS Gothic"/>
                <w:szCs w:val="21"/>
              </w:rPr>
            </w:pPr>
            <w:r>
              <w:rPr>
                <w:rFonts w:hint="eastAsia" w:ascii="Arial" w:hAnsi="Arial" w:cs="Arial"/>
                <w:color w:val="000000"/>
                <w:szCs w:val="21"/>
              </w:rPr>
              <w:t>直接经济损失金额</w:t>
            </w:r>
          </w:p>
        </w:tc>
        <w:tc>
          <w:tcPr>
            <w:tcW w:w="2130" w:type="dxa"/>
            <w:vAlign w:val="center"/>
          </w:tcPr>
          <w:p>
            <w:pPr>
              <w:tabs>
                <w:tab w:val="left" w:pos="0"/>
              </w:tabs>
              <w:rPr>
                <w:color w:val="000000"/>
                <w:szCs w:val="21"/>
              </w:rPr>
            </w:pPr>
            <w:r>
              <w:rPr>
                <w:rFonts w:hint="eastAsia"/>
                <w:color w:val="000000"/>
                <w:szCs w:val="21"/>
              </w:rPr>
              <w:t xml:space="preserve">损失＜利润总额的5%或损失&lt; 100万元                  </w:t>
            </w:r>
          </w:p>
          <w:p>
            <w:pPr>
              <w:tabs>
                <w:tab w:val="left" w:pos="0"/>
              </w:tabs>
              <w:rPr>
                <w:color w:val="000000"/>
                <w:szCs w:val="21"/>
              </w:rPr>
            </w:pPr>
          </w:p>
        </w:tc>
        <w:tc>
          <w:tcPr>
            <w:tcW w:w="2131" w:type="dxa"/>
            <w:vAlign w:val="center"/>
          </w:tcPr>
          <w:p>
            <w:pPr>
              <w:tabs>
                <w:tab w:val="left" w:pos="0"/>
              </w:tabs>
              <w:rPr>
                <w:color w:val="000000"/>
                <w:szCs w:val="21"/>
              </w:rPr>
            </w:pPr>
            <w:r>
              <w:rPr>
                <w:rFonts w:hint="eastAsia"/>
                <w:color w:val="000000"/>
                <w:szCs w:val="21"/>
              </w:rPr>
              <w:t>利润总额的5%≤损失＜利润总额的10%且损失</w:t>
            </w:r>
            <w:r>
              <w:rPr>
                <w:color w:val="000000"/>
                <w:szCs w:val="21"/>
              </w:rPr>
              <w:t>≥</w:t>
            </w:r>
            <w:r>
              <w:rPr>
                <w:rFonts w:hint="eastAsia"/>
                <w:color w:val="000000"/>
                <w:szCs w:val="21"/>
              </w:rPr>
              <w:t>100万元</w:t>
            </w:r>
          </w:p>
        </w:tc>
        <w:tc>
          <w:tcPr>
            <w:tcW w:w="2131" w:type="dxa"/>
            <w:vAlign w:val="center"/>
          </w:tcPr>
          <w:p>
            <w:pPr>
              <w:tabs>
                <w:tab w:val="left" w:pos="0"/>
              </w:tabs>
              <w:rPr>
                <w:color w:val="000000"/>
                <w:szCs w:val="21"/>
              </w:rPr>
            </w:pPr>
            <w:r>
              <w:rPr>
                <w:rFonts w:hint="eastAsia"/>
                <w:color w:val="000000"/>
                <w:szCs w:val="21"/>
              </w:rPr>
              <w:t>损失</w:t>
            </w:r>
            <w:r>
              <w:rPr>
                <w:color w:val="000000"/>
                <w:szCs w:val="21"/>
              </w:rPr>
              <w:t>≥</w:t>
            </w:r>
            <w:r>
              <w:rPr>
                <w:rFonts w:hint="eastAsia"/>
                <w:color w:val="000000"/>
                <w:szCs w:val="21"/>
              </w:rPr>
              <w:t>利润总额的10%且损失</w:t>
            </w:r>
            <w:r>
              <w:rPr>
                <w:color w:val="000000"/>
                <w:szCs w:val="21"/>
              </w:rPr>
              <w:t>≥</w:t>
            </w:r>
            <w:r>
              <w:rPr>
                <w:rFonts w:hint="eastAsia"/>
                <w:color w:val="000000"/>
                <w:szCs w:val="21"/>
              </w:rPr>
              <w:t>300万元</w:t>
            </w:r>
          </w:p>
          <w:p>
            <w:pPr>
              <w:tabs>
                <w:tab w:val="left" w:pos="0"/>
              </w:tabs>
              <w:rPr>
                <w:color w:val="000000"/>
                <w:szCs w:val="21"/>
              </w:rPr>
            </w:pPr>
          </w:p>
        </w:tc>
      </w:tr>
    </w:tbl>
    <w:p>
      <w:pPr>
        <w:tabs>
          <w:tab w:val="left" w:pos="0"/>
        </w:tabs>
        <w:rPr>
          <w:szCs w:val="21"/>
        </w:rPr>
      </w:pPr>
      <w:r>
        <w:rPr>
          <w:rFonts w:hint="eastAsia" w:ascii="Arial" w:hAnsi="Arial" w:cs="Arial"/>
          <w:szCs w:val="21"/>
        </w:rPr>
        <w:t xml:space="preserve">   </w:t>
      </w:r>
    </w:p>
    <w:p>
      <w:pPr>
        <w:tabs>
          <w:tab w:val="left" w:pos="0"/>
        </w:tabs>
        <w:spacing w:line="360" w:lineRule="auto"/>
        <w:rPr>
          <w:rFonts w:ascii="宋体" w:hAnsi="宋体" w:cs="Arial"/>
          <w:sz w:val="24"/>
        </w:rPr>
      </w:pPr>
      <w:r>
        <w:rPr>
          <w:rFonts w:hint="eastAsia" w:ascii="MS Gothic" w:hAnsi="MS Gothic" w:eastAsia="MS Gothic" w:cs="MS Gothic"/>
          <w:sz w:val="18"/>
          <w:szCs w:val="18"/>
        </w:rPr>
        <w:t>    </w:t>
      </w:r>
      <w:r>
        <w:rPr>
          <w:rFonts w:ascii="Arial" w:hAnsi="Arial" w:cs="Arial"/>
          <w:sz w:val="18"/>
          <w:szCs w:val="18"/>
        </w:rPr>
        <w:t xml:space="preserve"> </w:t>
      </w:r>
      <w:r>
        <w:rPr>
          <w:rFonts w:hint="eastAsia" w:ascii="宋体" w:hAnsi="宋体" w:cs="Arial"/>
          <w:sz w:val="24"/>
        </w:rPr>
        <w:t>备注：</w:t>
      </w:r>
      <w:r>
        <w:rPr>
          <w:rFonts w:ascii="宋体" w:hAnsi="宋体" w:cs="Arial"/>
          <w:sz w:val="24"/>
        </w:rPr>
        <w:t>定量标准中所指的财务指标值均为公司</w:t>
      </w:r>
      <w:r>
        <w:rPr>
          <w:rFonts w:hint="eastAsia" w:ascii="宋体" w:hAnsi="宋体" w:cs="Arial"/>
          <w:sz w:val="24"/>
        </w:rPr>
        <w:t>最近一年</w:t>
      </w:r>
      <w:r>
        <w:rPr>
          <w:rFonts w:ascii="宋体" w:hAnsi="宋体" w:cs="Arial"/>
          <w:sz w:val="24"/>
        </w:rPr>
        <w:t>经审计的合并报表数据</w:t>
      </w:r>
      <w:r>
        <w:rPr>
          <w:rFonts w:hint="eastAsia" w:ascii="宋体" w:hAnsi="宋体" w:cs="Arial"/>
          <w:sz w:val="24"/>
        </w:rPr>
        <w:t>。</w:t>
      </w:r>
    </w:p>
    <w:p>
      <w:pPr>
        <w:spacing w:line="300" w:lineRule="auto"/>
        <w:ind w:firstLine="480"/>
        <w:jc w:val="left"/>
        <w:rPr>
          <w:rFonts w:ascii="宋体" w:hAnsi="宋体"/>
          <w:sz w:val="24"/>
        </w:rPr>
      </w:pPr>
    </w:p>
    <w:p>
      <w:pPr>
        <w:spacing w:line="300" w:lineRule="auto"/>
        <w:ind w:firstLine="480" w:firstLineChars="200"/>
        <w:jc w:val="left"/>
        <w:rPr>
          <w:rFonts w:asciiTheme="minorEastAsia" w:hAnsiTheme="minorEastAsia" w:eastAsiaTheme="minorEastAsia"/>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465485"/>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579"/>
    <w:rsid w:val="00001D71"/>
    <w:rsid w:val="000029EC"/>
    <w:rsid w:val="0000610A"/>
    <w:rsid w:val="0003053A"/>
    <w:rsid w:val="0003254A"/>
    <w:rsid w:val="00034CB9"/>
    <w:rsid w:val="00062505"/>
    <w:rsid w:val="00066F4D"/>
    <w:rsid w:val="0008149D"/>
    <w:rsid w:val="00082779"/>
    <w:rsid w:val="00084C91"/>
    <w:rsid w:val="000B051D"/>
    <w:rsid w:val="000B1FAF"/>
    <w:rsid w:val="000B4926"/>
    <w:rsid w:val="000B6D13"/>
    <w:rsid w:val="000E2D52"/>
    <w:rsid w:val="00106A62"/>
    <w:rsid w:val="00144F6B"/>
    <w:rsid w:val="00162C0D"/>
    <w:rsid w:val="001945D2"/>
    <w:rsid w:val="001C3E98"/>
    <w:rsid w:val="00203CD3"/>
    <w:rsid w:val="00206927"/>
    <w:rsid w:val="00235423"/>
    <w:rsid w:val="0024377C"/>
    <w:rsid w:val="0028209E"/>
    <w:rsid w:val="00283F96"/>
    <w:rsid w:val="002A00A2"/>
    <w:rsid w:val="00307FEA"/>
    <w:rsid w:val="00315AB7"/>
    <w:rsid w:val="00367817"/>
    <w:rsid w:val="003B10CB"/>
    <w:rsid w:val="003C0A63"/>
    <w:rsid w:val="003E27C0"/>
    <w:rsid w:val="003F1B7F"/>
    <w:rsid w:val="00401184"/>
    <w:rsid w:val="00426ED6"/>
    <w:rsid w:val="00436061"/>
    <w:rsid w:val="00470ED8"/>
    <w:rsid w:val="00482D5C"/>
    <w:rsid w:val="00492315"/>
    <w:rsid w:val="0049483C"/>
    <w:rsid w:val="004B2933"/>
    <w:rsid w:val="004C0F72"/>
    <w:rsid w:val="004D2BE6"/>
    <w:rsid w:val="004D7325"/>
    <w:rsid w:val="004F5E4A"/>
    <w:rsid w:val="00525828"/>
    <w:rsid w:val="00526193"/>
    <w:rsid w:val="00532DEB"/>
    <w:rsid w:val="005413B4"/>
    <w:rsid w:val="00584C70"/>
    <w:rsid w:val="005948A8"/>
    <w:rsid w:val="005C0AE7"/>
    <w:rsid w:val="005E294F"/>
    <w:rsid w:val="005F0905"/>
    <w:rsid w:val="00602998"/>
    <w:rsid w:val="006324C7"/>
    <w:rsid w:val="00652FF8"/>
    <w:rsid w:val="0065693A"/>
    <w:rsid w:val="00671E2A"/>
    <w:rsid w:val="00684B45"/>
    <w:rsid w:val="006C11B7"/>
    <w:rsid w:val="006D6120"/>
    <w:rsid w:val="006E0991"/>
    <w:rsid w:val="00703503"/>
    <w:rsid w:val="00725499"/>
    <w:rsid w:val="0073106A"/>
    <w:rsid w:val="00766EF5"/>
    <w:rsid w:val="007B7117"/>
    <w:rsid w:val="007B7D4D"/>
    <w:rsid w:val="007E5A19"/>
    <w:rsid w:val="00810B32"/>
    <w:rsid w:val="0081201E"/>
    <w:rsid w:val="0082343F"/>
    <w:rsid w:val="00831637"/>
    <w:rsid w:val="00843F88"/>
    <w:rsid w:val="00854FB2"/>
    <w:rsid w:val="00856C55"/>
    <w:rsid w:val="00860A2E"/>
    <w:rsid w:val="008613B6"/>
    <w:rsid w:val="00872319"/>
    <w:rsid w:val="008912AF"/>
    <w:rsid w:val="008A2DA5"/>
    <w:rsid w:val="008B5C1F"/>
    <w:rsid w:val="008E3C12"/>
    <w:rsid w:val="008F40FA"/>
    <w:rsid w:val="009070D4"/>
    <w:rsid w:val="009202BE"/>
    <w:rsid w:val="00922764"/>
    <w:rsid w:val="009409B1"/>
    <w:rsid w:val="00976FA7"/>
    <w:rsid w:val="009775D2"/>
    <w:rsid w:val="009944C5"/>
    <w:rsid w:val="009A4C1E"/>
    <w:rsid w:val="009C7281"/>
    <w:rsid w:val="009D433A"/>
    <w:rsid w:val="009E0D41"/>
    <w:rsid w:val="009E339C"/>
    <w:rsid w:val="009E5651"/>
    <w:rsid w:val="009E6DEB"/>
    <w:rsid w:val="009F091B"/>
    <w:rsid w:val="009F0C85"/>
    <w:rsid w:val="009F507D"/>
    <w:rsid w:val="009F6A93"/>
    <w:rsid w:val="00A00729"/>
    <w:rsid w:val="00A02022"/>
    <w:rsid w:val="00A136FC"/>
    <w:rsid w:val="00A165C1"/>
    <w:rsid w:val="00A25C22"/>
    <w:rsid w:val="00A27579"/>
    <w:rsid w:val="00A3298F"/>
    <w:rsid w:val="00A37553"/>
    <w:rsid w:val="00A923AC"/>
    <w:rsid w:val="00AA6C59"/>
    <w:rsid w:val="00AD3FD4"/>
    <w:rsid w:val="00AE05B2"/>
    <w:rsid w:val="00AE6BE1"/>
    <w:rsid w:val="00B0428A"/>
    <w:rsid w:val="00B24857"/>
    <w:rsid w:val="00B27EA4"/>
    <w:rsid w:val="00B34438"/>
    <w:rsid w:val="00B34911"/>
    <w:rsid w:val="00B34F0F"/>
    <w:rsid w:val="00B47111"/>
    <w:rsid w:val="00B517A1"/>
    <w:rsid w:val="00B52BBD"/>
    <w:rsid w:val="00B5382D"/>
    <w:rsid w:val="00B56DCD"/>
    <w:rsid w:val="00B61FDB"/>
    <w:rsid w:val="00B64C7A"/>
    <w:rsid w:val="00B65E54"/>
    <w:rsid w:val="00B75E7E"/>
    <w:rsid w:val="00B85288"/>
    <w:rsid w:val="00B87A7C"/>
    <w:rsid w:val="00BB3D04"/>
    <w:rsid w:val="00BB6341"/>
    <w:rsid w:val="00BC54FA"/>
    <w:rsid w:val="00BD270A"/>
    <w:rsid w:val="00BE20D1"/>
    <w:rsid w:val="00C340A4"/>
    <w:rsid w:val="00C34AC1"/>
    <w:rsid w:val="00C65BAD"/>
    <w:rsid w:val="00C74995"/>
    <w:rsid w:val="00CB2B3A"/>
    <w:rsid w:val="00CE19E5"/>
    <w:rsid w:val="00D1480A"/>
    <w:rsid w:val="00D179A0"/>
    <w:rsid w:val="00D37CF6"/>
    <w:rsid w:val="00D40C93"/>
    <w:rsid w:val="00D4315E"/>
    <w:rsid w:val="00D47BAC"/>
    <w:rsid w:val="00D52231"/>
    <w:rsid w:val="00D65767"/>
    <w:rsid w:val="00D71D80"/>
    <w:rsid w:val="00D91DE1"/>
    <w:rsid w:val="00D97955"/>
    <w:rsid w:val="00DA6146"/>
    <w:rsid w:val="00DB3DEA"/>
    <w:rsid w:val="00DC56F5"/>
    <w:rsid w:val="00DC6B10"/>
    <w:rsid w:val="00DD11EE"/>
    <w:rsid w:val="00DE1E65"/>
    <w:rsid w:val="00DE5DFB"/>
    <w:rsid w:val="00DE67DB"/>
    <w:rsid w:val="00DE6DEF"/>
    <w:rsid w:val="00DF3667"/>
    <w:rsid w:val="00DF6E14"/>
    <w:rsid w:val="00E514BF"/>
    <w:rsid w:val="00E57D1D"/>
    <w:rsid w:val="00E63CC8"/>
    <w:rsid w:val="00E64BF9"/>
    <w:rsid w:val="00E74800"/>
    <w:rsid w:val="00E814F1"/>
    <w:rsid w:val="00E84E01"/>
    <w:rsid w:val="00E850B1"/>
    <w:rsid w:val="00EB56DA"/>
    <w:rsid w:val="00EC5E58"/>
    <w:rsid w:val="00EE1DF6"/>
    <w:rsid w:val="00F11230"/>
    <w:rsid w:val="00F44207"/>
    <w:rsid w:val="00F60B2A"/>
    <w:rsid w:val="00F71033"/>
    <w:rsid w:val="00FF64F9"/>
    <w:rsid w:val="3701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uiPriority w:val="0"/>
    <w:rPr>
      <w:rFonts w:asciiTheme="minorHAnsi" w:hAnsiTheme="minorHAnsi" w:cstheme="minorBidi"/>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semiHidden/>
    <w:unhideWhenUsed/>
    <w:uiPriority w:val="99"/>
    <w:rPr>
      <w:color w:val="0000FF"/>
      <w:u w:val="single"/>
    </w:rPr>
  </w:style>
  <w:style w:type="paragraph" w:customStyle="1" w:styleId="10">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1">
    <w:name w:val="正文格式"/>
    <w:basedOn w:val="1"/>
    <w:uiPriority w:val="0"/>
    <w:pPr>
      <w:spacing w:before="60" w:after="60" w:line="400" w:lineRule="exact"/>
      <w:ind w:left="300" w:leftChars="300"/>
    </w:pPr>
    <w:rPr>
      <w:rFonts w:ascii="Arial" w:hAnsi="Arial"/>
      <w:sz w:val="24"/>
      <w:szCs w:val="20"/>
    </w:r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批注框文本 Char"/>
    <w:basedOn w:val="8"/>
    <w:link w:val="3"/>
    <w:qFormat/>
    <w:uiPriority w:val="0"/>
    <w:rPr>
      <w:rFonts w:eastAsia="宋体"/>
      <w:sz w:val="18"/>
      <w:szCs w:val="18"/>
    </w:rPr>
  </w:style>
  <w:style w:type="character" w:customStyle="1" w:styleId="14">
    <w:name w:val="批注框文本 Char1"/>
    <w:basedOn w:val="8"/>
    <w:link w:val="3"/>
    <w:semiHidden/>
    <w:qFormat/>
    <w:uiPriority w:val="99"/>
    <w:rPr>
      <w:rFonts w:ascii="Times New Roman" w:hAnsi="Times New Roman" w:eastAsia="宋体" w:cs="Times New Roman"/>
      <w:sz w:val="18"/>
      <w:szCs w:val="18"/>
    </w:rPr>
  </w:style>
  <w:style w:type="character" w:customStyle="1" w:styleId="15">
    <w:name w:val="页眉 Char"/>
    <w:basedOn w:val="8"/>
    <w:link w:val="5"/>
    <w:semiHidden/>
    <w:qFormat/>
    <w:uiPriority w:val="99"/>
    <w:rPr>
      <w:rFonts w:ascii="Times New Roman" w:hAnsi="Times New Roman" w:eastAsia="宋体" w:cs="Times New Roman"/>
      <w:sz w:val="18"/>
      <w:szCs w:val="18"/>
    </w:rPr>
  </w:style>
  <w:style w:type="character" w:customStyle="1" w:styleId="16">
    <w:name w:val="页脚 Char"/>
    <w:basedOn w:val="8"/>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91AB3-34FB-431F-AAC5-3534F25C107B}">
  <ds:schemaRefs/>
</ds:datastoreItem>
</file>

<file path=docProps/app.xml><?xml version="1.0" encoding="utf-8"?>
<Properties xmlns="http://schemas.openxmlformats.org/officeDocument/2006/extended-properties" xmlns:vt="http://schemas.openxmlformats.org/officeDocument/2006/docPropsVTypes">
  <Template>Normal</Template>
  <Pages>8</Pages>
  <Words>1097</Words>
  <Characters>6258</Characters>
  <Lines>52</Lines>
  <Paragraphs>14</Paragraphs>
  <TotalTime>3414</TotalTime>
  <ScaleCrop>false</ScaleCrop>
  <LinksUpToDate>false</LinksUpToDate>
  <CharactersWithSpaces>7341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2020-11-10T02:28:00Z</dcterms:created>
  <dc:creator>系统管理员[admin]</dc:creator>
  <cp:lastModifiedBy>Leo Wei</cp:lastModifiedBy>
  <cp:lastPrinted>2020-11-30T01:53:00Z</cp:lastPrinted>
  <dcterms:modified xsi:type="dcterms:W3CDTF">2020-12-07T09:45:53Z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