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312" w:beforeLines="100" w:after="312" w:afterLines="100" w:line="360" w:lineRule="auto"/>
        <w:jc w:val="center"/>
        <w:outlineLvl w:val="0"/>
        <w:rPr>
          <w:rFonts w:eastAsia="黑体"/>
          <w:kern w:val="0"/>
          <w:sz w:val="36"/>
          <w:szCs w:val="20"/>
        </w:rPr>
      </w:pPr>
      <w:bookmarkStart w:id="4" w:name="_GoBack"/>
      <w:bookmarkStart w:id="0" w:name="_Toc31207"/>
      <w:bookmarkStart w:id="1" w:name="_Toc22970"/>
      <w:bookmarkStart w:id="2" w:name="_Toc454"/>
      <w:bookmarkStart w:id="3" w:name="_Toc31245"/>
      <w:r>
        <w:rPr>
          <w:rFonts w:eastAsia="黑体"/>
          <w:kern w:val="0"/>
          <w:sz w:val="36"/>
          <w:szCs w:val="20"/>
        </w:rPr>
        <w:t>融资管理制度</w:t>
      </w:r>
      <w:bookmarkEnd w:id="4"/>
      <w:bookmarkEnd w:id="0"/>
      <w:bookmarkEnd w:id="1"/>
      <w:bookmarkEnd w:id="2"/>
      <w:bookmarkEnd w:id="3"/>
    </w:p>
    <w:p>
      <w:pPr>
        <w:autoSpaceDE w:val="0"/>
        <w:autoSpaceDN w:val="0"/>
        <w:adjustRightInd w:val="0"/>
        <w:spacing w:before="156" w:beforeLines="50" w:after="156" w:afterLines="50" w:line="360" w:lineRule="auto"/>
        <w:jc w:val="center"/>
        <w:rPr>
          <w:b/>
          <w:sz w:val="24"/>
          <w:szCs w:val="24"/>
        </w:rPr>
      </w:pPr>
      <w:r>
        <w:rPr>
          <w:b/>
          <w:sz w:val="24"/>
          <w:szCs w:val="24"/>
        </w:rPr>
        <w:t>第一章</w:t>
      </w:r>
      <w:r>
        <w:rPr>
          <w:rFonts w:hint="eastAsia"/>
          <w:b/>
          <w:sz w:val="24"/>
          <w:szCs w:val="24"/>
        </w:rPr>
        <w:t xml:space="preserve"> </w:t>
      </w:r>
      <w:r>
        <w:rPr>
          <w:b/>
          <w:sz w:val="24"/>
          <w:szCs w:val="24"/>
        </w:rPr>
        <w:t xml:space="preserve"> 总则</w:t>
      </w:r>
    </w:p>
    <w:p>
      <w:pPr>
        <w:autoSpaceDE w:val="0"/>
        <w:autoSpaceDN w:val="0"/>
        <w:adjustRightInd w:val="0"/>
        <w:spacing w:line="360" w:lineRule="auto"/>
        <w:ind w:firstLine="420" w:firstLineChars="200"/>
      </w:pPr>
      <w:r>
        <w:t>第一条 为规范</w:t>
      </w:r>
      <w:r>
        <w:rPr>
          <w:rFonts w:hint="eastAsia"/>
        </w:rPr>
        <w:t>融捷</w:t>
      </w:r>
      <w:r>
        <w:t>股份有限公司（以下简称</w:t>
      </w:r>
      <w:r>
        <w:rPr>
          <w:rFonts w:hint="eastAsia"/>
        </w:rPr>
        <w:t>“</w:t>
      </w:r>
      <w:r>
        <w:t>公司</w:t>
      </w:r>
      <w:r>
        <w:rPr>
          <w:rFonts w:hint="eastAsia"/>
        </w:rPr>
        <w:t>”</w:t>
      </w:r>
      <w:r>
        <w:t>）的融资行为，加强对融资业务的控制，降低融资成本，有效防范资金管理风险，维护公司整体利益，根据</w:t>
      </w:r>
      <w:r>
        <w:rPr>
          <w:rFonts w:hint="eastAsia"/>
        </w:rPr>
        <w:t>《深圳证券交易所上市公司规范运作指引》</w:t>
      </w:r>
      <w:r>
        <w:t>等相关法律、法规的要求，并结合公司实际情况，制定本制度。</w:t>
      </w:r>
    </w:p>
    <w:p>
      <w:pPr>
        <w:autoSpaceDE w:val="0"/>
        <w:autoSpaceDN w:val="0"/>
        <w:adjustRightInd w:val="0"/>
        <w:spacing w:line="360" w:lineRule="auto"/>
        <w:ind w:firstLine="420" w:firstLineChars="200"/>
      </w:pPr>
      <w:r>
        <w:t>第二条 本制度所称融资，包括权益性融资和债务性融资。权益性融资是指融资结束后增加了企业权益资本的融资，如发行股票、配股、增发、发行可转换公司债券、发行分离交易的可转换公司债券等；债务性融资是指融资结束后增加了企业负债的融资，如向银行或非银行金融机构贷款、发行企业债券、融资租赁等。</w:t>
      </w:r>
    </w:p>
    <w:p>
      <w:pPr>
        <w:autoSpaceDE w:val="0"/>
        <w:autoSpaceDN w:val="0"/>
        <w:adjustRightInd w:val="0"/>
        <w:spacing w:line="360" w:lineRule="auto"/>
        <w:ind w:firstLine="420" w:firstLineChars="200"/>
      </w:pPr>
      <w:r>
        <w:t>第三条 融资活动应符合公司中长期战略发展规划。其原则为：</w:t>
      </w:r>
    </w:p>
    <w:p>
      <w:pPr>
        <w:autoSpaceDE w:val="0"/>
        <w:autoSpaceDN w:val="0"/>
        <w:adjustRightInd w:val="0"/>
        <w:spacing w:line="360" w:lineRule="auto"/>
        <w:ind w:firstLine="420" w:firstLineChars="200"/>
      </w:pPr>
      <w:r>
        <w:t xml:space="preserve">1、总体上以满足公司资金需要为宜，统筹安排，合理规划； </w:t>
      </w:r>
    </w:p>
    <w:p>
      <w:pPr>
        <w:autoSpaceDE w:val="0"/>
        <w:autoSpaceDN w:val="0"/>
        <w:adjustRightInd w:val="0"/>
        <w:spacing w:line="360" w:lineRule="auto"/>
        <w:ind w:firstLine="420" w:firstLineChars="200"/>
      </w:pPr>
      <w:r>
        <w:t xml:space="preserve">2、充分利用各级政府及行业优惠政策，积极争取低成本融资渠道，如：无偿、资助、无息或贴息贷款等； </w:t>
      </w:r>
    </w:p>
    <w:p>
      <w:pPr>
        <w:autoSpaceDE w:val="0"/>
        <w:autoSpaceDN w:val="0"/>
        <w:adjustRightInd w:val="0"/>
        <w:spacing w:line="360" w:lineRule="auto"/>
        <w:ind w:firstLine="420" w:firstLineChars="200"/>
      </w:pPr>
      <w:r>
        <w:t>3、长远利益与当前利益兼顾；</w:t>
      </w:r>
    </w:p>
    <w:p>
      <w:pPr>
        <w:autoSpaceDE w:val="0"/>
        <w:autoSpaceDN w:val="0"/>
        <w:adjustRightInd w:val="0"/>
        <w:spacing w:line="360" w:lineRule="auto"/>
        <w:ind w:firstLine="420" w:firstLineChars="200"/>
      </w:pPr>
      <w:r>
        <w:t xml:space="preserve">4、权衡资本结构对企业稳定性、再融资或资本运作可能带来的影响； </w:t>
      </w:r>
    </w:p>
    <w:p>
      <w:pPr>
        <w:autoSpaceDE w:val="0"/>
        <w:autoSpaceDN w:val="0"/>
        <w:adjustRightInd w:val="0"/>
        <w:spacing w:line="360" w:lineRule="auto"/>
        <w:ind w:firstLine="420" w:firstLineChars="200"/>
      </w:pPr>
      <w:r>
        <w:t>5、要慎重考虑公司的偿债能力，避免因到期不能偿债而陷入困境。</w:t>
      </w:r>
    </w:p>
    <w:p>
      <w:pPr>
        <w:autoSpaceDE w:val="0"/>
        <w:autoSpaceDN w:val="0"/>
        <w:adjustRightInd w:val="0"/>
        <w:spacing w:line="360" w:lineRule="auto"/>
        <w:ind w:firstLine="420" w:firstLineChars="200"/>
      </w:pPr>
      <w:r>
        <w:t xml:space="preserve">第四条 融资活动内部控制目标在于： </w:t>
      </w:r>
    </w:p>
    <w:p>
      <w:pPr>
        <w:autoSpaceDE w:val="0"/>
        <w:autoSpaceDN w:val="0"/>
        <w:adjustRightInd w:val="0"/>
        <w:spacing w:line="360" w:lineRule="auto"/>
        <w:ind w:firstLine="420" w:firstLineChars="200"/>
      </w:pPr>
      <w:r>
        <w:t>1、保证融资活动在发生前必须得到适当的审核；</w:t>
      </w:r>
    </w:p>
    <w:p>
      <w:pPr>
        <w:autoSpaceDE w:val="0"/>
        <w:autoSpaceDN w:val="0"/>
        <w:adjustRightInd w:val="0"/>
        <w:spacing w:line="360" w:lineRule="auto"/>
        <w:ind w:firstLine="420" w:firstLineChars="200"/>
      </w:pPr>
      <w:r>
        <w:t>2、保证融资业务在法律允许的范围内进行；</w:t>
      </w:r>
    </w:p>
    <w:p>
      <w:pPr>
        <w:autoSpaceDE w:val="0"/>
        <w:autoSpaceDN w:val="0"/>
        <w:adjustRightInd w:val="0"/>
        <w:spacing w:line="360" w:lineRule="auto"/>
        <w:ind w:firstLine="420" w:firstLineChars="200"/>
      </w:pPr>
      <w:r>
        <w:t>3、保证利息和股利的正确计提和支付；</w:t>
      </w:r>
    </w:p>
    <w:p>
      <w:pPr>
        <w:autoSpaceDE w:val="0"/>
        <w:autoSpaceDN w:val="0"/>
        <w:adjustRightInd w:val="0"/>
        <w:spacing w:line="360" w:lineRule="auto"/>
        <w:ind w:firstLine="420" w:firstLineChars="200"/>
      </w:pPr>
      <w:r>
        <w:t>4、保证股东权益被合理地确认。</w:t>
      </w:r>
    </w:p>
    <w:p>
      <w:pPr>
        <w:autoSpaceDE w:val="0"/>
        <w:autoSpaceDN w:val="0"/>
        <w:adjustRightInd w:val="0"/>
        <w:spacing w:line="360" w:lineRule="auto"/>
        <w:ind w:firstLine="420" w:firstLineChars="200"/>
      </w:pPr>
      <w:r>
        <w:t>第五条 本制度适用于公司及其合并报表范围内的控股子公司。</w:t>
      </w:r>
    </w:p>
    <w:p>
      <w:pPr>
        <w:autoSpaceDE w:val="0"/>
        <w:autoSpaceDN w:val="0"/>
        <w:adjustRightInd w:val="0"/>
        <w:spacing w:before="156" w:beforeLines="50" w:after="156" w:afterLines="50" w:line="360" w:lineRule="auto"/>
        <w:jc w:val="center"/>
        <w:rPr>
          <w:b/>
          <w:sz w:val="24"/>
          <w:szCs w:val="24"/>
        </w:rPr>
      </w:pPr>
      <w:r>
        <w:rPr>
          <w:b/>
          <w:sz w:val="24"/>
          <w:szCs w:val="24"/>
        </w:rPr>
        <w:t xml:space="preserve">第二章 </w:t>
      </w:r>
      <w:r>
        <w:rPr>
          <w:rFonts w:hint="eastAsia"/>
          <w:b/>
          <w:sz w:val="24"/>
          <w:szCs w:val="24"/>
        </w:rPr>
        <w:t xml:space="preserve"> </w:t>
      </w:r>
      <w:r>
        <w:rPr>
          <w:b/>
          <w:sz w:val="24"/>
          <w:szCs w:val="24"/>
        </w:rPr>
        <w:t xml:space="preserve">分工和授权 </w:t>
      </w:r>
    </w:p>
    <w:p>
      <w:pPr>
        <w:autoSpaceDE w:val="0"/>
        <w:autoSpaceDN w:val="0"/>
        <w:adjustRightInd w:val="0"/>
        <w:spacing w:line="360" w:lineRule="auto"/>
        <w:ind w:firstLine="420" w:firstLineChars="200"/>
      </w:pPr>
      <w:r>
        <w:t xml:space="preserve">第六条 公司融资内部控制中的不相容职务应当分离，其中包括： </w:t>
      </w:r>
    </w:p>
    <w:p>
      <w:pPr>
        <w:autoSpaceDE w:val="0"/>
        <w:autoSpaceDN w:val="0"/>
        <w:adjustRightInd w:val="0"/>
        <w:spacing w:line="360" w:lineRule="auto"/>
        <w:ind w:firstLine="420" w:firstLineChars="200"/>
      </w:pPr>
      <w:r>
        <w:t>1、融资方案的拟订与决策；</w:t>
      </w:r>
    </w:p>
    <w:p>
      <w:pPr>
        <w:autoSpaceDE w:val="0"/>
        <w:autoSpaceDN w:val="0"/>
        <w:adjustRightInd w:val="0"/>
        <w:spacing w:line="360" w:lineRule="auto"/>
        <w:ind w:firstLine="420" w:firstLineChars="200"/>
      </w:pPr>
      <w:r>
        <w:t>2、融资担保合同或协议的审批与订立；</w:t>
      </w:r>
    </w:p>
    <w:p>
      <w:pPr>
        <w:autoSpaceDE w:val="0"/>
        <w:autoSpaceDN w:val="0"/>
        <w:adjustRightInd w:val="0"/>
        <w:spacing w:line="360" w:lineRule="auto"/>
        <w:ind w:firstLine="420" w:firstLineChars="200"/>
      </w:pPr>
      <w:r>
        <w:t xml:space="preserve">3、与融资有关的各种款项偿付的审批与执行； </w:t>
      </w:r>
    </w:p>
    <w:p>
      <w:pPr>
        <w:autoSpaceDE w:val="0"/>
        <w:autoSpaceDN w:val="0"/>
        <w:adjustRightInd w:val="0"/>
        <w:spacing w:line="360" w:lineRule="auto"/>
        <w:ind w:firstLine="420" w:firstLineChars="200"/>
      </w:pPr>
      <w:r>
        <w:t xml:space="preserve">4、融资业务的执行与相关会计记录。 </w:t>
      </w:r>
    </w:p>
    <w:p>
      <w:pPr>
        <w:autoSpaceDE w:val="0"/>
        <w:autoSpaceDN w:val="0"/>
        <w:adjustRightInd w:val="0"/>
        <w:spacing w:line="360" w:lineRule="auto"/>
        <w:ind w:firstLine="420" w:firstLineChars="200"/>
      </w:pPr>
      <w:r>
        <w:t xml:space="preserve">公司不得由一个人办理融资担保业务的全部过程。 </w:t>
      </w:r>
    </w:p>
    <w:p>
      <w:pPr>
        <w:autoSpaceDE w:val="0"/>
        <w:autoSpaceDN w:val="0"/>
        <w:adjustRightInd w:val="0"/>
        <w:spacing w:line="360" w:lineRule="auto"/>
        <w:ind w:firstLine="420" w:firstLineChars="200"/>
      </w:pPr>
      <w:r>
        <w:t xml:space="preserve">第七条 公司融资业务实行统一管理、分级审批的管理制度。 </w:t>
      </w:r>
    </w:p>
    <w:p>
      <w:pPr>
        <w:autoSpaceDE w:val="0"/>
        <w:autoSpaceDN w:val="0"/>
        <w:adjustRightInd w:val="0"/>
        <w:spacing w:line="360" w:lineRule="auto"/>
        <w:ind w:firstLine="420" w:firstLineChars="200"/>
      </w:pPr>
      <w:r>
        <w:t>公司所有融资业务的办理应严格按照国家相关法律、行政法规、部门规章、规范性文件和本公司《公司章程》、《股东大会议事规则》、《董事会议事规则》、《</w:t>
      </w:r>
      <w:r>
        <w:rPr>
          <w:rFonts w:hint="eastAsia"/>
        </w:rPr>
        <w:t>总裁</w:t>
      </w:r>
      <w:r>
        <w:t xml:space="preserve">工作细则》等规定的权限履行审批程序。 </w:t>
      </w:r>
    </w:p>
    <w:p>
      <w:pPr>
        <w:spacing w:line="360" w:lineRule="auto"/>
        <w:ind w:firstLine="420" w:firstLineChars="200"/>
      </w:pPr>
      <w:r>
        <w:t>对致使公司资产负债率不超过80%的</w:t>
      </w:r>
      <w:r>
        <w:rPr>
          <w:rFonts w:hint="eastAsia"/>
        </w:rPr>
        <w:t>银行</w:t>
      </w:r>
      <w:r>
        <w:t>融资事项应当经董事会审议批准；对致使公司资产负债率超过80%的</w:t>
      </w:r>
      <w:r>
        <w:rPr>
          <w:rFonts w:hint="eastAsia"/>
        </w:rPr>
        <w:t>银行</w:t>
      </w:r>
      <w:r>
        <w:t xml:space="preserve">融资事项应当经股东大会审议批准。根据中国证监会或深圳证券交易所的规定应提交股东大会审议的其他融资事项，须从其规定。涉及发行债券或证券的，需根据相关规定履行审议程序和提交有关部门审批。  </w:t>
      </w:r>
    </w:p>
    <w:p>
      <w:pPr>
        <w:autoSpaceDE w:val="0"/>
        <w:autoSpaceDN w:val="0"/>
        <w:adjustRightInd w:val="0"/>
        <w:spacing w:line="360" w:lineRule="auto"/>
        <w:ind w:firstLine="420" w:firstLineChars="200"/>
      </w:pPr>
      <w:r>
        <w:t>第八条 公司</w:t>
      </w:r>
      <w:r>
        <w:rPr>
          <w:color w:val="000000"/>
        </w:rPr>
        <w:t>董秘办</w:t>
      </w:r>
      <w:r>
        <w:t>负责与发行公司债券、股票有关的权益性融资业务。如有必要，也可由公司指定其他相关部门提供协助。公司财务部</w:t>
      </w:r>
      <w:r>
        <w:rPr>
          <w:rFonts w:hint="eastAsia"/>
        </w:rPr>
        <w:t>门</w:t>
      </w:r>
      <w:r>
        <w:t xml:space="preserve">负责与债务性有关的融资业务。 </w:t>
      </w:r>
    </w:p>
    <w:p>
      <w:pPr>
        <w:autoSpaceDE w:val="0"/>
        <w:autoSpaceDN w:val="0"/>
        <w:adjustRightInd w:val="0"/>
        <w:spacing w:line="360" w:lineRule="auto"/>
        <w:ind w:firstLine="420" w:firstLineChars="200"/>
      </w:pPr>
      <w:r>
        <w:t xml:space="preserve">第九条 </w:t>
      </w:r>
      <w:r>
        <w:rPr>
          <w:color w:val="000000"/>
        </w:rPr>
        <w:t>董秘办</w:t>
      </w:r>
      <w:r>
        <w:t>和财务部</w:t>
      </w:r>
      <w:r>
        <w:rPr>
          <w:rFonts w:hint="eastAsia"/>
        </w:rPr>
        <w:t>门</w:t>
      </w:r>
      <w:r>
        <w:t>分别管理其融资业务的文件、合同、协议、契约等文件资料。涉及须董事会以及股东大会审议通过的事项，由公司</w:t>
      </w:r>
      <w:r>
        <w:rPr>
          <w:color w:val="000000"/>
        </w:rPr>
        <w:t>董秘办</w:t>
      </w:r>
      <w:r>
        <w:t>和财务部</w:t>
      </w:r>
      <w:r>
        <w:rPr>
          <w:rFonts w:hint="eastAsia"/>
        </w:rPr>
        <w:t>门</w:t>
      </w:r>
      <w:r>
        <w:t>及时向董事会秘书报告，按规定严格履行审议程序。</w:t>
      </w:r>
    </w:p>
    <w:p>
      <w:pPr>
        <w:autoSpaceDE w:val="0"/>
        <w:autoSpaceDN w:val="0"/>
        <w:adjustRightInd w:val="0"/>
        <w:spacing w:before="156" w:beforeLines="50" w:after="156" w:afterLines="50" w:line="360" w:lineRule="auto"/>
        <w:jc w:val="center"/>
        <w:rPr>
          <w:b/>
          <w:sz w:val="24"/>
          <w:szCs w:val="24"/>
        </w:rPr>
      </w:pPr>
      <w:r>
        <w:rPr>
          <w:b/>
          <w:sz w:val="24"/>
          <w:szCs w:val="24"/>
        </w:rPr>
        <w:t xml:space="preserve">第三章 </w:t>
      </w:r>
      <w:r>
        <w:rPr>
          <w:rFonts w:hint="eastAsia"/>
          <w:b/>
          <w:sz w:val="24"/>
          <w:szCs w:val="24"/>
        </w:rPr>
        <w:t xml:space="preserve"> </w:t>
      </w:r>
      <w:r>
        <w:rPr>
          <w:b/>
          <w:sz w:val="24"/>
          <w:szCs w:val="24"/>
        </w:rPr>
        <w:t xml:space="preserve">实施与执行 </w:t>
      </w:r>
    </w:p>
    <w:p>
      <w:pPr>
        <w:autoSpaceDE w:val="0"/>
        <w:autoSpaceDN w:val="0"/>
        <w:adjustRightInd w:val="0"/>
        <w:spacing w:line="360" w:lineRule="auto"/>
        <w:ind w:firstLine="420" w:firstLineChars="200"/>
      </w:pPr>
      <w:r>
        <w:t>第十条 公司财务部</w:t>
      </w:r>
      <w:r>
        <w:rPr>
          <w:rFonts w:hint="eastAsia"/>
        </w:rPr>
        <w:t>门</w:t>
      </w:r>
      <w:r>
        <w:t>根据应根据公司实际需要提出</w:t>
      </w:r>
      <w:r>
        <w:rPr>
          <w:rFonts w:hint="eastAsia"/>
        </w:rPr>
        <w:t>债务性</w:t>
      </w:r>
      <w:r>
        <w:t>融资方案，经公司</w:t>
      </w:r>
      <w:r>
        <w:rPr>
          <w:rFonts w:hint="eastAsia"/>
        </w:rPr>
        <w:t>总裁</w:t>
      </w:r>
      <w:r>
        <w:t>签字后报公司董事长审核后提交董事会审批。财务部</w:t>
      </w:r>
      <w:r>
        <w:rPr>
          <w:rFonts w:hint="eastAsia"/>
        </w:rPr>
        <w:t>门</w:t>
      </w:r>
      <w:r>
        <w:t xml:space="preserve">根据授权与金融机构联系、洽谈，达成融资意向，签订融资合同或协议，办理融资手续，直至取得资金。 </w:t>
      </w:r>
    </w:p>
    <w:p>
      <w:pPr>
        <w:autoSpaceDE w:val="0"/>
        <w:autoSpaceDN w:val="0"/>
        <w:adjustRightInd w:val="0"/>
        <w:spacing w:line="360" w:lineRule="auto"/>
        <w:ind w:firstLine="420" w:firstLineChars="200"/>
      </w:pPr>
      <w:r>
        <w:t>第十一条 公司发行公司债券或股票由</w:t>
      </w:r>
      <w:r>
        <w:rPr>
          <w:color w:val="000000"/>
        </w:rPr>
        <w:t>董秘办</w:t>
      </w:r>
      <w:r>
        <w:rPr>
          <w:rFonts w:hint="eastAsia"/>
          <w:color w:val="000000"/>
        </w:rPr>
        <w:t>协调组织</w:t>
      </w:r>
      <w:r>
        <w:t>，经股东大会</w:t>
      </w:r>
      <w:r>
        <w:rPr>
          <w:rFonts w:hint="eastAsia"/>
        </w:rPr>
        <w:t>审议通过，</w:t>
      </w:r>
      <w:r>
        <w:rPr>
          <w:rFonts w:hint="eastAsia" w:ascii="宋体" w:cs="宋体"/>
          <w:color w:val="000000"/>
        </w:rPr>
        <w:t>视情况根据相关规定提交有关部门批准。</w:t>
      </w:r>
      <w:r>
        <w:rPr>
          <w:color w:val="000000"/>
        </w:rPr>
        <w:t>董秘办</w:t>
      </w:r>
      <w:r>
        <w:rPr>
          <w:rFonts w:hint="eastAsia"/>
          <w:color w:val="000000"/>
        </w:rPr>
        <w:t>负责组织</w:t>
      </w:r>
      <w:r>
        <w:t>与</w:t>
      </w:r>
      <w:r>
        <w:rPr>
          <w:rFonts w:hint="eastAsia"/>
        </w:rPr>
        <w:t>证券中介机构</w:t>
      </w:r>
      <w:r>
        <w:t xml:space="preserve">签订债券承销协议或股票承销协议，直至发行完毕取得资金。 </w:t>
      </w:r>
    </w:p>
    <w:p>
      <w:pPr>
        <w:autoSpaceDE w:val="0"/>
        <w:autoSpaceDN w:val="0"/>
        <w:adjustRightInd w:val="0"/>
        <w:spacing w:line="360" w:lineRule="auto"/>
        <w:ind w:firstLine="420" w:firstLineChars="200"/>
      </w:pPr>
      <w:r>
        <w:t xml:space="preserve">第十二条 公司有关融资合同、协议或决议等法律文件必须经有权批准融资业务的人员在各自的批准权限内批准。公司应授权有关人员或聘请外部专家对上述重要文件进行审核，提出意见，以备批准决策时参考。 </w:t>
      </w:r>
    </w:p>
    <w:p>
      <w:pPr>
        <w:autoSpaceDE w:val="0"/>
        <w:autoSpaceDN w:val="0"/>
        <w:adjustRightInd w:val="0"/>
        <w:spacing w:line="360" w:lineRule="auto"/>
        <w:ind w:firstLine="420" w:firstLineChars="200"/>
      </w:pPr>
      <w:r>
        <w:t>第十三条 公司财务部</w:t>
      </w:r>
      <w:r>
        <w:rPr>
          <w:rFonts w:hint="eastAsia"/>
        </w:rPr>
        <w:t>门</w:t>
      </w:r>
      <w:r>
        <w:t xml:space="preserve">要加强审查筹资业务各环节所涉及的各类原始凭证的真实性、合法性、准确性和完整性。加强对筹资费用的计算、核对工作，确保筹资费用符合筹资合同或协议的规定。 </w:t>
      </w:r>
    </w:p>
    <w:p>
      <w:pPr>
        <w:autoSpaceDE w:val="0"/>
        <w:autoSpaceDN w:val="0"/>
        <w:adjustRightInd w:val="0"/>
        <w:spacing w:line="360" w:lineRule="auto"/>
        <w:ind w:firstLine="420" w:firstLineChars="200"/>
      </w:pPr>
      <w:r>
        <w:t>第十四条 公司财务部</w:t>
      </w:r>
      <w:r>
        <w:rPr>
          <w:rFonts w:hint="eastAsia"/>
        </w:rPr>
        <w:t>门</w:t>
      </w:r>
      <w:r>
        <w:t xml:space="preserve">应当结合偿债能力、资金结构等，保持足够的现金流量，确保及时、足额偿还到期本金、利息或已宣告发放的现金股利等。 </w:t>
      </w:r>
    </w:p>
    <w:p>
      <w:pPr>
        <w:autoSpaceDE w:val="0"/>
        <w:autoSpaceDN w:val="0"/>
        <w:adjustRightInd w:val="0"/>
        <w:spacing w:line="360" w:lineRule="auto"/>
        <w:ind w:firstLine="420" w:firstLineChars="200"/>
      </w:pPr>
      <w:r>
        <w:t>第十五条 公司财务部</w:t>
      </w:r>
      <w:r>
        <w:rPr>
          <w:rFonts w:hint="eastAsia"/>
        </w:rPr>
        <w:t>门</w:t>
      </w:r>
      <w:r>
        <w:t xml:space="preserve">严格按照筹资合同或协议规定的本金、利率、期限及币种计算利息和本金，经有关人员审核确认后，与债权人进行核对。本金与应付利息必须和债权人定期对账。如有不符，应查明原因，按权限及时处理。 </w:t>
      </w:r>
    </w:p>
    <w:p>
      <w:pPr>
        <w:autoSpaceDE w:val="0"/>
        <w:autoSpaceDN w:val="0"/>
        <w:adjustRightInd w:val="0"/>
        <w:spacing w:line="360" w:lineRule="auto"/>
        <w:ind w:firstLine="420" w:firstLineChars="200"/>
      </w:pPr>
      <w:r>
        <w:t>第十六条 向金融机构的借款由公司财务部</w:t>
      </w:r>
      <w:r>
        <w:rPr>
          <w:rFonts w:hint="eastAsia"/>
        </w:rPr>
        <w:t>门</w:t>
      </w:r>
      <w:r>
        <w:t xml:space="preserve">指定专人负责管理和核算。对外借款应遵守金融机构借款的规定，接受金融机构的监督。借款应按期归还，如遇特殊情况不能按期归还的，应及时向金融机构申请展期，避免逾期罚息。支付借款利息，应根据合同规定逐笔进行复核，避免多付损失。 </w:t>
      </w:r>
    </w:p>
    <w:p>
      <w:pPr>
        <w:autoSpaceDE w:val="0"/>
        <w:autoSpaceDN w:val="0"/>
        <w:adjustRightInd w:val="0"/>
        <w:spacing w:line="360" w:lineRule="auto"/>
        <w:ind w:firstLine="420" w:firstLineChars="200"/>
      </w:pPr>
      <w:r>
        <w:t xml:space="preserve">第十七条 公司支付筹资利息、股息、本金等，应当履行审批手续，经授权人员批准后方可支付。公司委托代理机构对外支付债券利息，应清点、核对代理机构的利息支付清单，并及时取得有关凭据。公司财务部应当按照股利（利润）分配方案发放股利（利润），股利（利润）分配方案应当按照公司章程或有关规定，按权限审批。 </w:t>
      </w:r>
    </w:p>
    <w:p>
      <w:pPr>
        <w:autoSpaceDE w:val="0"/>
        <w:autoSpaceDN w:val="0"/>
        <w:adjustRightInd w:val="0"/>
        <w:spacing w:line="360" w:lineRule="auto"/>
        <w:ind w:firstLine="420" w:firstLineChars="200"/>
      </w:pPr>
      <w:r>
        <w:t>第十八条 公司财务部</w:t>
      </w:r>
      <w:r>
        <w:rPr>
          <w:rFonts w:hint="eastAsia"/>
        </w:rPr>
        <w:t>门</w:t>
      </w:r>
      <w:r>
        <w:t xml:space="preserve">要按照企业会计准则的规定设置核算筹资业务的会计科目，对筹资业务进行核算，详尽记录筹资业务的整个过程，实施筹资业务的会计核算监督。 </w:t>
      </w:r>
    </w:p>
    <w:p>
      <w:pPr>
        <w:autoSpaceDE w:val="0"/>
        <w:autoSpaceDN w:val="0"/>
        <w:adjustRightInd w:val="0"/>
        <w:spacing w:line="360" w:lineRule="auto"/>
        <w:ind w:firstLine="420" w:firstLineChars="200"/>
      </w:pPr>
      <w:r>
        <w:t>第十九条 公司</w:t>
      </w:r>
      <w:r>
        <w:rPr>
          <w:color w:val="000000"/>
        </w:rPr>
        <w:t>董秘办</w:t>
      </w:r>
      <w:r>
        <w:t>负责偿还公司债券、支付股利的支付申请；公司财务部</w:t>
      </w:r>
      <w:r>
        <w:rPr>
          <w:rFonts w:hint="eastAsia"/>
        </w:rPr>
        <w:t>门</w:t>
      </w:r>
      <w:r>
        <w:t xml:space="preserve">负责偿还银行融资和支付利息的支付申请。 </w:t>
      </w:r>
    </w:p>
    <w:p>
      <w:pPr>
        <w:autoSpaceDE w:val="0"/>
        <w:autoSpaceDN w:val="0"/>
        <w:adjustRightInd w:val="0"/>
        <w:spacing w:line="360" w:lineRule="auto"/>
        <w:ind w:firstLine="420" w:firstLineChars="200"/>
      </w:pPr>
      <w:r>
        <w:t>第二十条 公司财务部</w:t>
      </w:r>
      <w:r>
        <w:rPr>
          <w:rFonts w:hint="eastAsia"/>
        </w:rPr>
        <w:t>门</w:t>
      </w:r>
      <w:r>
        <w:t>应当严格遵照公司《募集资金管理办法》的规定合理安排和使用募集资金。</w:t>
      </w:r>
    </w:p>
    <w:p>
      <w:pPr>
        <w:autoSpaceDE w:val="0"/>
        <w:autoSpaceDN w:val="0"/>
        <w:adjustRightInd w:val="0"/>
        <w:spacing w:before="156" w:beforeLines="50" w:after="156" w:afterLines="50" w:line="360" w:lineRule="auto"/>
        <w:jc w:val="center"/>
        <w:rPr>
          <w:b/>
          <w:sz w:val="24"/>
          <w:szCs w:val="24"/>
        </w:rPr>
      </w:pPr>
      <w:r>
        <w:rPr>
          <w:b/>
          <w:sz w:val="24"/>
          <w:szCs w:val="24"/>
        </w:rPr>
        <w:t xml:space="preserve">第四章 </w:t>
      </w:r>
      <w:r>
        <w:rPr>
          <w:rFonts w:hint="eastAsia"/>
          <w:b/>
          <w:sz w:val="24"/>
          <w:szCs w:val="24"/>
        </w:rPr>
        <w:t xml:space="preserve"> </w:t>
      </w:r>
      <w:r>
        <w:rPr>
          <w:b/>
          <w:sz w:val="24"/>
          <w:szCs w:val="24"/>
        </w:rPr>
        <w:t xml:space="preserve">监督与检查 </w:t>
      </w:r>
    </w:p>
    <w:p>
      <w:pPr>
        <w:autoSpaceDE w:val="0"/>
        <w:autoSpaceDN w:val="0"/>
        <w:adjustRightInd w:val="0"/>
        <w:spacing w:line="360" w:lineRule="auto"/>
        <w:ind w:firstLine="420" w:firstLineChars="200"/>
      </w:pPr>
      <w:r>
        <w:t>第二十一条 公司由内审部</w:t>
      </w:r>
      <w:r>
        <w:rPr>
          <w:rFonts w:hint="eastAsia"/>
        </w:rPr>
        <w:t>门</w:t>
      </w:r>
      <w:r>
        <w:t xml:space="preserve">行使对融资内部控制的监督检查权，必要时其他相关部门应予以协助配合。 </w:t>
      </w:r>
    </w:p>
    <w:p>
      <w:pPr>
        <w:autoSpaceDE w:val="0"/>
        <w:autoSpaceDN w:val="0"/>
        <w:adjustRightInd w:val="0"/>
        <w:spacing w:line="360" w:lineRule="auto"/>
        <w:ind w:firstLine="420" w:firstLineChars="200"/>
      </w:pPr>
      <w:r>
        <w:t xml:space="preserve">检查的内容主要包括： </w:t>
      </w:r>
    </w:p>
    <w:p>
      <w:pPr>
        <w:autoSpaceDE w:val="0"/>
        <w:autoSpaceDN w:val="0"/>
        <w:adjustRightInd w:val="0"/>
        <w:spacing w:line="360" w:lineRule="auto"/>
        <w:ind w:firstLine="420" w:firstLineChars="200"/>
      </w:pPr>
      <w:r>
        <w:t xml:space="preserve">1、融资业务相关岗位及人员的设置情况； </w:t>
      </w:r>
    </w:p>
    <w:p>
      <w:pPr>
        <w:autoSpaceDE w:val="0"/>
        <w:autoSpaceDN w:val="0"/>
        <w:adjustRightInd w:val="0"/>
        <w:spacing w:line="360" w:lineRule="auto"/>
        <w:ind w:firstLine="420" w:firstLineChars="200"/>
      </w:pPr>
      <w:r>
        <w:t>2、融资业务授权审批程序的执行情况；</w:t>
      </w:r>
    </w:p>
    <w:p>
      <w:pPr>
        <w:autoSpaceDE w:val="0"/>
        <w:autoSpaceDN w:val="0"/>
        <w:adjustRightInd w:val="0"/>
        <w:spacing w:line="360" w:lineRule="auto"/>
        <w:ind w:firstLine="420" w:firstLineChars="200"/>
      </w:pPr>
      <w:r>
        <w:t xml:space="preserve">3、融资方案的合法性和效益性； </w:t>
      </w:r>
    </w:p>
    <w:p>
      <w:pPr>
        <w:autoSpaceDE w:val="0"/>
        <w:autoSpaceDN w:val="0"/>
        <w:adjustRightInd w:val="0"/>
        <w:spacing w:line="360" w:lineRule="auto"/>
        <w:ind w:firstLine="420" w:firstLineChars="200"/>
      </w:pPr>
      <w:r>
        <w:t xml:space="preserve">4、融资活动有关的批准文件、合同、契约、协议等相关法律文件的签署和保管情况； </w:t>
      </w:r>
    </w:p>
    <w:p>
      <w:pPr>
        <w:autoSpaceDE w:val="0"/>
        <w:autoSpaceDN w:val="0"/>
        <w:adjustRightInd w:val="0"/>
        <w:spacing w:line="360" w:lineRule="auto"/>
        <w:ind w:firstLine="420" w:firstLineChars="200"/>
      </w:pPr>
      <w:r>
        <w:t xml:space="preserve">5、融资业务核算情况； </w:t>
      </w:r>
    </w:p>
    <w:p>
      <w:pPr>
        <w:autoSpaceDE w:val="0"/>
        <w:autoSpaceDN w:val="0"/>
        <w:adjustRightInd w:val="0"/>
        <w:spacing w:line="360" w:lineRule="auto"/>
        <w:ind w:firstLine="420" w:firstLineChars="200"/>
      </w:pPr>
      <w:r>
        <w:t xml:space="preserve">6、融资使用情况和归还情况。 </w:t>
      </w:r>
    </w:p>
    <w:p>
      <w:pPr>
        <w:autoSpaceDE w:val="0"/>
        <w:autoSpaceDN w:val="0"/>
        <w:adjustRightInd w:val="0"/>
        <w:spacing w:line="360" w:lineRule="auto"/>
        <w:ind w:firstLine="420" w:firstLineChars="200"/>
      </w:pPr>
      <w:r>
        <w:t>第二十二条 监督检查过程中发现的融资活动内部控制中的薄弱环节，应要求相关部门及时予以改进和完善；发现重大问题应写出书面检查报告，向有关领导和部门汇报，以便及时采取措施，加以纠正和完善。</w:t>
      </w:r>
    </w:p>
    <w:p>
      <w:pPr>
        <w:autoSpaceDE w:val="0"/>
        <w:autoSpaceDN w:val="0"/>
        <w:adjustRightInd w:val="0"/>
        <w:spacing w:before="156" w:beforeLines="50" w:after="156" w:afterLines="50" w:line="360" w:lineRule="auto"/>
        <w:jc w:val="center"/>
        <w:rPr>
          <w:b/>
          <w:sz w:val="24"/>
          <w:szCs w:val="24"/>
        </w:rPr>
      </w:pPr>
      <w:r>
        <w:rPr>
          <w:b/>
          <w:sz w:val="24"/>
          <w:szCs w:val="24"/>
        </w:rPr>
        <w:t>第五章</w:t>
      </w:r>
      <w:r>
        <w:rPr>
          <w:rFonts w:hint="eastAsia"/>
          <w:b/>
          <w:sz w:val="24"/>
          <w:szCs w:val="24"/>
        </w:rPr>
        <w:t xml:space="preserve"> </w:t>
      </w:r>
      <w:r>
        <w:rPr>
          <w:b/>
          <w:sz w:val="24"/>
          <w:szCs w:val="24"/>
        </w:rPr>
        <w:t xml:space="preserve"> 附则 </w:t>
      </w:r>
    </w:p>
    <w:p>
      <w:pPr>
        <w:autoSpaceDE w:val="0"/>
        <w:autoSpaceDN w:val="0"/>
        <w:adjustRightInd w:val="0"/>
        <w:spacing w:line="360" w:lineRule="auto"/>
        <w:ind w:firstLine="420" w:firstLineChars="200"/>
        <w:jc w:val="left"/>
        <w:rPr>
          <w:rFonts w:hint="eastAsia"/>
          <w:kern w:val="0"/>
        </w:rPr>
      </w:pPr>
      <w:r>
        <w:t xml:space="preserve">第二十三条 </w:t>
      </w:r>
      <w:r>
        <w:rPr>
          <w:rFonts w:hint="eastAsia"/>
          <w:kern w:val="0"/>
        </w:rPr>
        <w:t>本制度所称“超过”不含本数。</w:t>
      </w:r>
    </w:p>
    <w:p>
      <w:pPr>
        <w:autoSpaceDE w:val="0"/>
        <w:autoSpaceDN w:val="0"/>
        <w:adjustRightInd w:val="0"/>
        <w:spacing w:line="360" w:lineRule="auto"/>
        <w:ind w:firstLine="420" w:firstLineChars="200"/>
        <w:jc w:val="left"/>
      </w:pPr>
      <w:r>
        <w:t>第二十四条</w:t>
      </w:r>
      <w:r>
        <w:rPr>
          <w:kern w:val="0"/>
        </w:rPr>
        <w:t xml:space="preserve"> </w:t>
      </w:r>
      <w:r>
        <w:t>本制度</w:t>
      </w:r>
      <w:r>
        <w:rPr>
          <w:rFonts w:hint="eastAsia"/>
        </w:rPr>
        <w:t>自</w:t>
      </w:r>
      <w:r>
        <w:t>公司董事会</w:t>
      </w:r>
      <w:r>
        <w:rPr>
          <w:rFonts w:hint="eastAsia"/>
        </w:rPr>
        <w:t>批准之日起</w:t>
      </w:r>
      <w:r>
        <w:t>实施，修订亦同</w:t>
      </w:r>
      <w:r>
        <w:rPr>
          <w:rFonts w:hint="eastAsia"/>
        </w:rPr>
        <w:t>，</w:t>
      </w:r>
      <w:r>
        <w:t>由公司董事会负责</w:t>
      </w:r>
      <w:r>
        <w:rPr>
          <w:rFonts w:hint="eastAsia"/>
          <w:kern w:val="0"/>
        </w:rPr>
        <w:t>修订和解释</w:t>
      </w:r>
      <w:r>
        <w:t>。</w:t>
      </w:r>
    </w:p>
    <w:p>
      <w:pPr>
        <w:spacing w:line="360" w:lineRule="auto"/>
        <w:ind w:firstLine="420" w:firstLineChars="200"/>
      </w:pPr>
    </w:p>
    <w:p>
      <w:pPr>
        <w:spacing w:line="360" w:lineRule="auto"/>
        <w:ind w:firstLine="420" w:firstLineChars="200"/>
        <w:jc w:val="right"/>
      </w:pPr>
      <w:r>
        <w:rPr>
          <w:rFonts w:hint="eastAsia"/>
        </w:rPr>
        <w:t>融捷</w:t>
      </w:r>
      <w:r>
        <w:t>股份有限公司</w:t>
      </w:r>
    </w:p>
    <w:p>
      <w:pPr>
        <w:spacing w:line="360" w:lineRule="auto"/>
        <w:ind w:firstLine="420" w:firstLineChars="200"/>
        <w:jc w:val="right"/>
      </w:pPr>
      <w:r>
        <w:t>20</w:t>
      </w:r>
      <w:r>
        <w:rPr>
          <w:rFonts w:hint="eastAsia"/>
        </w:rPr>
        <w:t>20</w:t>
      </w:r>
      <w:r>
        <w:t>年6月</w:t>
      </w:r>
      <w:r>
        <w:rPr>
          <w:rFonts w:hint="eastAsia"/>
        </w:rPr>
        <w:t>29</w:t>
      </w:r>
      <w: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hYmMwNTFlMmNiYzNkNDZiZWI0ZGE2OTk0NGFiNWIifQ=="/>
  </w:docVars>
  <w:rsids>
    <w:rsidRoot w:val="00000000"/>
    <w:rsid w:val="34BC7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2022-11-22T08:31:01Z</dcterms:created>
  <dc:creator>Administrator</dc:creator>
  <cp:lastModifiedBy>千芮</cp:lastModifiedBy>
  <dcterms:modified xsi:type="dcterms:W3CDTF">2022-11-22T08:31:21Z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244A4E162F054157A2219948B2C9B973</vt:lpwstr>
  </property>
</Properties>
</file>