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312" w:beforeLines="100" w:after="312" w:afterLines="100"/>
      </w:pPr>
      <w:bookmarkStart w:id="0" w:name="_Toc19924"/>
      <w:bookmarkStart w:id="1" w:name="_Toc20479"/>
      <w:bookmarkStart w:id="2" w:name="_Toc28434"/>
      <w:bookmarkStart w:id="3" w:name="_Toc6892"/>
      <w:bookmarkStart w:id="4" w:name="_Toc20271"/>
      <w:r>
        <w:t>日常经营重大合同申报制度</w:t>
      </w:r>
      <w:bookmarkEnd w:id="0"/>
      <w:bookmarkEnd w:id="1"/>
      <w:bookmarkEnd w:id="2"/>
      <w:bookmarkEnd w:id="3"/>
    </w:p>
    <w:p>
      <w:pPr>
        <w:spacing w:line="360" w:lineRule="auto"/>
        <w:ind w:firstLine="420" w:firstLineChars="200"/>
      </w:pPr>
      <w:r>
        <w:t>第一条 为提高融捷股份有限公司（以下简称</w:t>
      </w:r>
      <w:r>
        <w:rPr>
          <w:rFonts w:hint="eastAsia" w:ascii="宋体" w:hAnsi="宋体" w:eastAsia="宋体" w:cs="宋体"/>
        </w:rPr>
        <w:t>“公司”</w:t>
      </w:r>
      <w:r>
        <w:t>）信息披露质量，根据《公司法》《证券法》《上市公司信息披露管理办法》</w:t>
      </w:r>
      <w:r>
        <w:rPr>
          <w:rFonts w:hint="eastAsia"/>
          <w:lang w:eastAsia="zh-CN"/>
        </w:rPr>
        <w:t>、</w:t>
      </w:r>
      <w:r>
        <w:t>深圳证券交易所</w:t>
      </w:r>
      <w:r>
        <w:rPr>
          <w:rFonts w:hint="eastAsia"/>
          <w:lang w:eastAsia="zh-CN"/>
        </w:rPr>
        <w:t>（</w:t>
      </w:r>
      <w:r>
        <w:rPr>
          <w:rFonts w:hint="eastAsia"/>
          <w:lang w:val="en-US" w:eastAsia="zh-CN"/>
        </w:rPr>
        <w:t>以下简称“深交所”</w:t>
      </w:r>
      <w:r>
        <w:rPr>
          <w:rFonts w:hint="eastAsia"/>
          <w:lang w:eastAsia="zh-CN"/>
        </w:rPr>
        <w:t>）</w:t>
      </w:r>
      <w:r>
        <w:t>《股票上市规则》</w:t>
      </w:r>
      <w:r>
        <w:rPr>
          <w:rFonts w:hint="eastAsia"/>
        </w:rPr>
        <w:t>《上市公司</w:t>
      </w:r>
      <w:r>
        <w:rPr>
          <w:rFonts w:hint="eastAsia"/>
          <w:lang w:val="en-US" w:eastAsia="zh-CN"/>
        </w:rPr>
        <w:t>自律监管</w:t>
      </w:r>
      <w:r>
        <w:rPr>
          <w:rFonts w:hint="eastAsia"/>
        </w:rPr>
        <w:t>指引》</w:t>
      </w:r>
      <w:r>
        <w:t xml:space="preserve">等有关法律、法规和规范性文件的规定，结合《公司章程》以及公司实际情况，制定本制度。 </w:t>
      </w:r>
    </w:p>
    <w:p>
      <w:pPr>
        <w:spacing w:line="360" w:lineRule="auto"/>
        <w:ind w:firstLine="422" w:firstLineChars="200"/>
        <w:rPr>
          <w:rFonts w:hint="default"/>
          <w:b/>
          <w:bCs/>
          <w:sz w:val="21"/>
          <w:szCs w:val="21"/>
        </w:rPr>
      </w:pPr>
      <w:r>
        <w:rPr>
          <w:rFonts w:hint="default"/>
          <w:b/>
          <w:bCs/>
          <w:sz w:val="21"/>
          <w:szCs w:val="21"/>
        </w:rPr>
        <w:t>第二条 公司发生与日常经营相关的</w:t>
      </w:r>
      <w:r>
        <w:rPr>
          <w:rFonts w:hint="default"/>
          <w:b/>
          <w:bCs/>
          <w:sz w:val="21"/>
          <w:szCs w:val="21"/>
          <w:lang w:val="en-US" w:eastAsia="zh-CN"/>
        </w:rPr>
        <w:t>交易</w:t>
      </w:r>
      <w:r>
        <w:rPr>
          <w:rFonts w:hint="default"/>
          <w:b/>
          <w:bCs/>
          <w:sz w:val="21"/>
          <w:szCs w:val="21"/>
        </w:rPr>
        <w:t>类型</w:t>
      </w:r>
      <w:r>
        <w:rPr>
          <w:rFonts w:hint="default"/>
          <w:b/>
          <w:bCs/>
          <w:sz w:val="21"/>
          <w:szCs w:val="21"/>
          <w:lang w:val="en-US" w:eastAsia="zh-CN"/>
        </w:rPr>
        <w:t>如下</w:t>
      </w:r>
      <w:r>
        <w:rPr>
          <w:rFonts w:hint="default"/>
          <w:b/>
          <w:bCs/>
          <w:sz w:val="21"/>
          <w:szCs w:val="21"/>
        </w:rPr>
        <w:t>：</w:t>
      </w:r>
    </w:p>
    <w:p>
      <w:pPr>
        <w:spacing w:line="360" w:lineRule="auto"/>
        <w:ind w:firstLine="422" w:firstLineChars="200"/>
        <w:rPr>
          <w:rFonts w:hint="default"/>
          <w:b/>
          <w:bCs/>
          <w:sz w:val="21"/>
          <w:szCs w:val="21"/>
        </w:rPr>
      </w:pPr>
      <w:r>
        <w:rPr>
          <w:rFonts w:hint="default"/>
          <w:b/>
          <w:bCs/>
          <w:sz w:val="21"/>
          <w:szCs w:val="21"/>
        </w:rPr>
        <w:t>（一）购买原材料、燃料和动力；</w:t>
      </w:r>
    </w:p>
    <w:p>
      <w:pPr>
        <w:spacing w:line="360" w:lineRule="auto"/>
        <w:ind w:firstLine="422" w:firstLineChars="200"/>
        <w:rPr>
          <w:rFonts w:hint="default"/>
          <w:b/>
          <w:bCs/>
          <w:sz w:val="21"/>
          <w:szCs w:val="21"/>
        </w:rPr>
      </w:pPr>
      <w:r>
        <w:rPr>
          <w:rFonts w:hint="default"/>
          <w:b/>
          <w:bCs/>
          <w:sz w:val="21"/>
          <w:szCs w:val="21"/>
        </w:rPr>
        <w:t>（二）接受劳务；</w:t>
      </w:r>
    </w:p>
    <w:p>
      <w:pPr>
        <w:spacing w:line="360" w:lineRule="auto"/>
        <w:ind w:firstLine="422" w:firstLineChars="200"/>
        <w:rPr>
          <w:rFonts w:hint="default"/>
          <w:b/>
          <w:bCs/>
          <w:sz w:val="21"/>
          <w:szCs w:val="21"/>
        </w:rPr>
      </w:pPr>
      <w:r>
        <w:rPr>
          <w:rFonts w:hint="default"/>
          <w:b/>
          <w:bCs/>
          <w:sz w:val="21"/>
          <w:szCs w:val="21"/>
        </w:rPr>
        <w:t>（三）出售产品、商品；</w:t>
      </w:r>
    </w:p>
    <w:p>
      <w:pPr>
        <w:spacing w:line="360" w:lineRule="auto"/>
        <w:ind w:firstLine="422" w:firstLineChars="200"/>
        <w:rPr>
          <w:rFonts w:hint="default"/>
          <w:b/>
          <w:bCs/>
          <w:sz w:val="21"/>
          <w:szCs w:val="21"/>
        </w:rPr>
      </w:pPr>
      <w:r>
        <w:rPr>
          <w:rFonts w:hint="default"/>
          <w:b/>
          <w:bCs/>
          <w:sz w:val="21"/>
          <w:szCs w:val="21"/>
        </w:rPr>
        <w:t>（四）提供劳务；</w:t>
      </w:r>
    </w:p>
    <w:p>
      <w:pPr>
        <w:spacing w:line="360" w:lineRule="auto"/>
        <w:ind w:firstLine="422" w:firstLineChars="200"/>
        <w:rPr>
          <w:rFonts w:hint="default"/>
          <w:b/>
          <w:bCs/>
          <w:sz w:val="21"/>
          <w:szCs w:val="21"/>
        </w:rPr>
      </w:pPr>
      <w:r>
        <w:rPr>
          <w:rFonts w:hint="default"/>
          <w:b/>
          <w:bCs/>
          <w:sz w:val="21"/>
          <w:szCs w:val="21"/>
        </w:rPr>
        <w:t>（五）工程承包；</w:t>
      </w:r>
    </w:p>
    <w:p>
      <w:pPr>
        <w:spacing w:line="360" w:lineRule="auto"/>
        <w:ind w:firstLine="422" w:firstLineChars="200"/>
        <w:rPr>
          <w:rFonts w:hint="default"/>
          <w:b/>
          <w:bCs/>
          <w:sz w:val="21"/>
          <w:szCs w:val="21"/>
        </w:rPr>
      </w:pPr>
      <w:r>
        <w:rPr>
          <w:rFonts w:hint="default"/>
          <w:b/>
          <w:bCs/>
          <w:sz w:val="21"/>
          <w:szCs w:val="21"/>
        </w:rPr>
        <w:t>（六）与公司日常经营相关的其他交易。</w:t>
      </w:r>
    </w:p>
    <w:p>
      <w:pPr>
        <w:spacing w:line="360" w:lineRule="auto"/>
        <w:ind w:firstLine="422" w:firstLineChars="200"/>
        <w:rPr>
          <w:rFonts w:hint="default"/>
          <w:b/>
          <w:bCs/>
          <w:sz w:val="21"/>
          <w:szCs w:val="21"/>
        </w:rPr>
      </w:pPr>
      <w:r>
        <w:rPr>
          <w:rFonts w:hint="default"/>
          <w:b/>
          <w:bCs/>
          <w:sz w:val="21"/>
          <w:szCs w:val="21"/>
          <w:lang w:val="en-US" w:eastAsia="zh-CN"/>
        </w:rPr>
        <w:t xml:space="preserve">第三条 </w:t>
      </w:r>
      <w:r>
        <w:rPr>
          <w:rFonts w:hint="default"/>
          <w:b/>
          <w:bCs/>
          <w:sz w:val="21"/>
          <w:szCs w:val="21"/>
        </w:rPr>
        <w:t>公司签署日常</w:t>
      </w:r>
      <w:r>
        <w:rPr>
          <w:rFonts w:hint="default"/>
          <w:b/>
          <w:bCs/>
          <w:sz w:val="21"/>
          <w:szCs w:val="21"/>
          <w:lang w:val="en-US" w:eastAsia="zh-CN"/>
        </w:rPr>
        <w:t>经营</w:t>
      </w:r>
      <w:r>
        <w:rPr>
          <w:rFonts w:hint="default"/>
          <w:b/>
          <w:bCs/>
          <w:sz w:val="21"/>
          <w:szCs w:val="21"/>
        </w:rPr>
        <w:t>相关合同，达到下列标准之一的，应当及时披露：</w:t>
      </w:r>
    </w:p>
    <w:p>
      <w:pPr>
        <w:spacing w:line="360" w:lineRule="auto"/>
        <w:ind w:firstLine="422" w:firstLineChars="200"/>
        <w:rPr>
          <w:rFonts w:hint="default"/>
          <w:b/>
          <w:bCs/>
          <w:sz w:val="21"/>
          <w:szCs w:val="21"/>
        </w:rPr>
      </w:pPr>
      <w:r>
        <w:rPr>
          <w:rFonts w:hint="default"/>
          <w:b/>
          <w:bCs/>
          <w:sz w:val="21"/>
          <w:szCs w:val="21"/>
        </w:rPr>
        <w:t>（一）涉及购买原材料、燃料和动力</w:t>
      </w:r>
      <w:r>
        <w:rPr>
          <w:rFonts w:hint="default"/>
          <w:b/>
          <w:bCs/>
          <w:sz w:val="21"/>
          <w:szCs w:val="21"/>
          <w:lang w:eastAsia="zh-CN"/>
        </w:rPr>
        <w:t>；</w:t>
      </w:r>
      <w:r>
        <w:rPr>
          <w:rFonts w:hint="default"/>
          <w:b/>
          <w:bCs/>
          <w:sz w:val="21"/>
          <w:szCs w:val="21"/>
        </w:rPr>
        <w:t>接受劳务事项的，合同金额占</w:t>
      </w:r>
      <w:r>
        <w:rPr>
          <w:rFonts w:hint="eastAsia"/>
          <w:b/>
          <w:bCs/>
          <w:sz w:val="21"/>
          <w:szCs w:val="21"/>
          <w:lang w:eastAsia="zh-CN"/>
        </w:rPr>
        <w:t>公司</w:t>
      </w:r>
      <w:r>
        <w:rPr>
          <w:rFonts w:hint="default"/>
          <w:b/>
          <w:bCs/>
          <w:sz w:val="21"/>
          <w:szCs w:val="21"/>
        </w:rPr>
        <w:t>最近一期经审计总资产50%以上，且绝对金额超过五亿元；</w:t>
      </w:r>
    </w:p>
    <w:p>
      <w:pPr>
        <w:spacing w:line="360" w:lineRule="auto"/>
        <w:ind w:firstLine="422" w:firstLineChars="200"/>
        <w:rPr>
          <w:rFonts w:hint="default"/>
          <w:b/>
          <w:bCs/>
          <w:sz w:val="21"/>
          <w:szCs w:val="21"/>
        </w:rPr>
      </w:pPr>
      <w:r>
        <w:rPr>
          <w:rFonts w:hint="default"/>
          <w:b/>
          <w:bCs/>
          <w:sz w:val="21"/>
          <w:szCs w:val="21"/>
        </w:rPr>
        <w:t>（二）涉及出售产品、商品</w:t>
      </w:r>
      <w:r>
        <w:rPr>
          <w:rFonts w:hint="default"/>
          <w:b/>
          <w:bCs/>
          <w:sz w:val="21"/>
          <w:szCs w:val="21"/>
          <w:lang w:eastAsia="zh-CN"/>
        </w:rPr>
        <w:t>；</w:t>
      </w:r>
      <w:r>
        <w:rPr>
          <w:rFonts w:hint="default"/>
          <w:b/>
          <w:bCs/>
          <w:sz w:val="21"/>
          <w:szCs w:val="21"/>
        </w:rPr>
        <w:t>提供劳务</w:t>
      </w:r>
      <w:r>
        <w:rPr>
          <w:rFonts w:hint="default"/>
          <w:b/>
          <w:bCs/>
          <w:sz w:val="21"/>
          <w:szCs w:val="21"/>
          <w:lang w:eastAsia="zh-CN"/>
        </w:rPr>
        <w:t>；</w:t>
      </w:r>
      <w:r>
        <w:rPr>
          <w:rFonts w:hint="default"/>
          <w:b/>
          <w:bCs/>
          <w:sz w:val="21"/>
          <w:szCs w:val="21"/>
        </w:rPr>
        <w:t>工程承包事项的，合同金额占</w:t>
      </w:r>
      <w:r>
        <w:rPr>
          <w:rFonts w:hint="eastAsia"/>
          <w:b/>
          <w:bCs/>
          <w:sz w:val="21"/>
          <w:szCs w:val="21"/>
          <w:lang w:eastAsia="zh-CN"/>
        </w:rPr>
        <w:t>公司</w:t>
      </w:r>
      <w:r>
        <w:rPr>
          <w:rFonts w:hint="default"/>
          <w:b/>
          <w:bCs/>
          <w:sz w:val="21"/>
          <w:szCs w:val="21"/>
        </w:rPr>
        <w:t>最近一个会计年度经审计主营业务收入50%以上，且绝对金额超过五亿元；</w:t>
      </w:r>
    </w:p>
    <w:p>
      <w:pPr>
        <w:spacing w:line="360" w:lineRule="auto"/>
        <w:ind w:firstLine="422" w:firstLineChars="200"/>
        <w:rPr>
          <w:rFonts w:hint="default"/>
          <w:b/>
          <w:bCs/>
          <w:sz w:val="21"/>
          <w:szCs w:val="21"/>
        </w:rPr>
      </w:pPr>
      <w:r>
        <w:rPr>
          <w:rFonts w:hint="default"/>
          <w:b/>
          <w:bCs/>
          <w:sz w:val="21"/>
          <w:szCs w:val="21"/>
        </w:rPr>
        <w:t>（三）公司或</w:t>
      </w:r>
      <w:r>
        <w:rPr>
          <w:rFonts w:hint="eastAsia"/>
          <w:b/>
          <w:bCs/>
          <w:sz w:val="21"/>
          <w:szCs w:val="21"/>
          <w:lang w:eastAsia="zh-CN"/>
        </w:rPr>
        <w:t>深交所</w:t>
      </w:r>
      <w:r>
        <w:rPr>
          <w:rFonts w:hint="default"/>
          <w:b/>
          <w:bCs/>
          <w:sz w:val="21"/>
          <w:szCs w:val="21"/>
        </w:rPr>
        <w:t>认为可能对</w:t>
      </w:r>
      <w:r>
        <w:rPr>
          <w:rFonts w:hint="eastAsia"/>
          <w:b/>
          <w:bCs/>
          <w:sz w:val="21"/>
          <w:szCs w:val="21"/>
          <w:lang w:eastAsia="zh-CN"/>
        </w:rPr>
        <w:t>公司</w:t>
      </w:r>
      <w:r>
        <w:rPr>
          <w:rFonts w:hint="default"/>
          <w:b/>
          <w:bCs/>
          <w:sz w:val="21"/>
          <w:szCs w:val="21"/>
        </w:rPr>
        <w:t>财务状况、经营成果产生重大影响的其他合同。</w:t>
      </w:r>
    </w:p>
    <w:p>
      <w:pPr>
        <w:spacing w:line="360" w:lineRule="auto"/>
        <w:ind w:firstLine="422" w:firstLineChars="200"/>
        <w:rPr>
          <w:rFonts w:hint="eastAsia"/>
          <w:b/>
          <w:bCs/>
          <w:sz w:val="21"/>
          <w:szCs w:val="21"/>
        </w:rPr>
      </w:pPr>
      <w:r>
        <w:rPr>
          <w:rFonts w:hint="eastAsia"/>
          <w:b/>
          <w:bCs/>
          <w:sz w:val="21"/>
          <w:szCs w:val="21"/>
          <w:lang w:val="en-US" w:eastAsia="zh-CN"/>
        </w:rPr>
        <w:t xml:space="preserve">第四条 </w:t>
      </w:r>
      <w:r>
        <w:rPr>
          <w:rFonts w:hint="eastAsia"/>
          <w:b/>
          <w:bCs/>
          <w:sz w:val="21"/>
          <w:szCs w:val="21"/>
        </w:rPr>
        <w:t>公司与他人共同承接建设工程项目，公司作为总承包人的，应当以项目的全部投资金额适用</w:t>
      </w:r>
      <w:r>
        <w:rPr>
          <w:rFonts w:hint="eastAsia"/>
          <w:b/>
          <w:bCs/>
          <w:sz w:val="21"/>
          <w:szCs w:val="21"/>
          <w:lang w:val="en-US" w:eastAsia="zh-CN"/>
        </w:rPr>
        <w:t>本制度第三条</w:t>
      </w:r>
      <w:r>
        <w:rPr>
          <w:rFonts w:hint="eastAsia"/>
          <w:b/>
          <w:bCs/>
          <w:sz w:val="21"/>
          <w:szCs w:val="21"/>
        </w:rPr>
        <w:t>的规定；作为非总承包人的，应当以公司实际承担的投资金额适用</w:t>
      </w:r>
      <w:r>
        <w:rPr>
          <w:rFonts w:hint="eastAsia"/>
          <w:b/>
          <w:bCs/>
          <w:sz w:val="21"/>
          <w:szCs w:val="21"/>
          <w:lang w:val="en-US" w:eastAsia="zh-CN"/>
        </w:rPr>
        <w:t>本制度第三条</w:t>
      </w:r>
      <w:r>
        <w:rPr>
          <w:rFonts w:hint="eastAsia"/>
          <w:b/>
          <w:bCs/>
          <w:sz w:val="21"/>
          <w:szCs w:val="21"/>
        </w:rPr>
        <w:t>的规定。</w:t>
      </w:r>
    </w:p>
    <w:p>
      <w:pPr>
        <w:spacing w:line="360" w:lineRule="auto"/>
        <w:ind w:firstLine="422" w:firstLineChars="200"/>
        <w:rPr>
          <w:rFonts w:hint="eastAsia"/>
          <w:b/>
          <w:bCs/>
          <w:sz w:val="21"/>
          <w:szCs w:val="21"/>
        </w:rPr>
      </w:pPr>
      <w:r>
        <w:rPr>
          <w:rFonts w:hint="eastAsia"/>
          <w:b/>
          <w:bCs/>
          <w:sz w:val="21"/>
          <w:szCs w:val="21"/>
          <w:lang w:val="en-US" w:eastAsia="zh-CN"/>
        </w:rPr>
        <w:t xml:space="preserve">第五条 </w:t>
      </w:r>
      <w:r>
        <w:rPr>
          <w:rFonts w:hint="eastAsia"/>
          <w:b/>
          <w:bCs/>
          <w:sz w:val="21"/>
          <w:szCs w:val="21"/>
        </w:rPr>
        <w:t>公司参加工程承包、商品采购等项目的投标，合同金额或者合同履行预计产生的收入达到</w:t>
      </w:r>
      <w:r>
        <w:rPr>
          <w:rFonts w:hint="eastAsia"/>
          <w:b/>
          <w:bCs/>
          <w:sz w:val="21"/>
          <w:szCs w:val="21"/>
          <w:lang w:val="en-US" w:eastAsia="zh-CN"/>
        </w:rPr>
        <w:t>本制度第三条</w:t>
      </w:r>
      <w:r>
        <w:rPr>
          <w:rFonts w:hint="eastAsia"/>
          <w:b/>
          <w:bCs/>
          <w:sz w:val="21"/>
          <w:szCs w:val="21"/>
        </w:rPr>
        <w:t>规定标准的，在获悉已被确定为中标单位并已进入公示期、但尚未取得中标通知书或者相关证明文件时，应当及时发布提示性公告，并按照规定披露中标公示的主要内容。</w:t>
      </w:r>
    </w:p>
    <w:p>
      <w:pPr>
        <w:spacing w:line="360" w:lineRule="auto"/>
        <w:ind w:firstLine="422" w:firstLineChars="200"/>
        <w:rPr>
          <w:rFonts w:hint="eastAsia"/>
          <w:b/>
          <w:bCs/>
          <w:sz w:val="21"/>
          <w:szCs w:val="21"/>
        </w:rPr>
      </w:pPr>
      <w:r>
        <w:rPr>
          <w:rFonts w:hint="eastAsia"/>
          <w:b/>
          <w:bCs/>
          <w:sz w:val="21"/>
          <w:szCs w:val="21"/>
        </w:rPr>
        <w:t>公示期结束后取得中标通知书的，公司应当及时按照规定披露项目中标相关情况。预计无法取得中标通知书的，公司应当及时披露进展情况并提示风险。</w:t>
      </w:r>
    </w:p>
    <w:p>
      <w:pPr>
        <w:spacing w:line="360" w:lineRule="auto"/>
        <w:ind w:firstLine="422" w:firstLineChars="200"/>
        <w:rPr>
          <w:rFonts w:hint="eastAsia"/>
          <w:b/>
          <w:bCs/>
          <w:sz w:val="21"/>
          <w:szCs w:val="21"/>
          <w:lang w:val="en-US" w:eastAsia="zh-CN"/>
        </w:rPr>
      </w:pPr>
      <w:r>
        <w:rPr>
          <w:rFonts w:hint="eastAsia"/>
          <w:b/>
          <w:bCs/>
          <w:sz w:val="21"/>
          <w:szCs w:val="21"/>
          <w:lang w:val="en-US" w:eastAsia="zh-CN"/>
        </w:rPr>
        <w:t>第六条 若日常经营相关的交易涉及关联交易的，按照公司《关联交易决策制度》履行决策程序和披露义务，以及进行后续管理。</w:t>
      </w:r>
    </w:p>
    <w:p>
      <w:pPr>
        <w:spacing w:line="360" w:lineRule="auto"/>
        <w:ind w:firstLine="422" w:firstLineChars="200"/>
        <w:rPr>
          <w:rFonts w:hint="eastAsia"/>
          <w:b/>
          <w:bCs/>
          <w:sz w:val="21"/>
          <w:szCs w:val="21"/>
        </w:rPr>
      </w:pPr>
      <w:r>
        <w:rPr>
          <w:rFonts w:hint="eastAsia"/>
          <w:b/>
          <w:bCs/>
          <w:sz w:val="21"/>
          <w:szCs w:val="21"/>
          <w:lang w:val="en-US" w:eastAsia="zh-CN"/>
        </w:rPr>
        <w:t xml:space="preserve">第七条 </w:t>
      </w:r>
      <w:r>
        <w:rPr>
          <w:rFonts w:hint="eastAsia"/>
          <w:b/>
          <w:bCs/>
          <w:sz w:val="21"/>
          <w:szCs w:val="21"/>
        </w:rPr>
        <w:t>公司应当按照</w:t>
      </w:r>
      <w:r>
        <w:rPr>
          <w:rFonts w:hint="eastAsia"/>
          <w:b/>
          <w:bCs/>
          <w:sz w:val="21"/>
          <w:szCs w:val="21"/>
          <w:lang w:eastAsia="zh-CN"/>
        </w:rPr>
        <w:t>深交所</w:t>
      </w:r>
      <w:r>
        <w:rPr>
          <w:rFonts w:hint="eastAsia"/>
          <w:b/>
          <w:bCs/>
          <w:sz w:val="21"/>
          <w:szCs w:val="21"/>
        </w:rPr>
        <w:t>有关规定披露日常</w:t>
      </w:r>
      <w:r>
        <w:rPr>
          <w:rFonts w:hint="eastAsia"/>
          <w:b/>
          <w:bCs/>
          <w:sz w:val="21"/>
          <w:szCs w:val="21"/>
          <w:lang w:val="en-US" w:eastAsia="zh-CN"/>
        </w:rPr>
        <w:t>经营重大合同</w:t>
      </w:r>
      <w:r>
        <w:rPr>
          <w:rFonts w:hint="eastAsia"/>
          <w:b/>
          <w:bCs/>
          <w:sz w:val="21"/>
          <w:szCs w:val="21"/>
        </w:rPr>
        <w:t>的相关信息，包括交易各方、合同主要内容、合同履行对公司的影响、合同的审议程序、有关部门审批文件（如有）、风险提示等。</w:t>
      </w:r>
    </w:p>
    <w:p>
      <w:pPr>
        <w:spacing w:line="360" w:lineRule="auto"/>
        <w:ind w:firstLine="422" w:firstLineChars="200"/>
        <w:rPr>
          <w:rFonts w:hint="eastAsia"/>
          <w:b/>
          <w:bCs/>
          <w:sz w:val="21"/>
          <w:szCs w:val="21"/>
          <w:lang w:val="en-US" w:eastAsia="zh-CN"/>
        </w:rPr>
      </w:pPr>
      <w:r>
        <w:rPr>
          <w:rFonts w:hint="eastAsia"/>
          <w:b/>
          <w:bCs/>
          <w:sz w:val="21"/>
          <w:szCs w:val="21"/>
          <w:lang w:val="en-US" w:eastAsia="zh-CN"/>
        </w:rPr>
        <w:t>公司披露的重大合同涉及新业务、新技</w:t>
      </w:r>
      <w:bookmarkStart w:id="5" w:name="_GoBack"/>
      <w:bookmarkEnd w:id="5"/>
      <w:r>
        <w:rPr>
          <w:rFonts w:hint="eastAsia"/>
          <w:b/>
          <w:bCs/>
          <w:sz w:val="21"/>
          <w:szCs w:val="21"/>
          <w:lang w:val="en-US" w:eastAsia="zh-CN"/>
        </w:rPr>
        <w:t>术、新模式、新产品或者其他市场关注度较高事项的，还应当披露进入新领域的原因及可行性论证情况。</w:t>
      </w:r>
    </w:p>
    <w:p>
      <w:pPr>
        <w:spacing w:line="360" w:lineRule="auto"/>
        <w:ind w:firstLine="422" w:firstLineChars="200"/>
        <w:rPr>
          <w:rFonts w:hint="eastAsia"/>
          <w:b/>
          <w:bCs/>
          <w:sz w:val="21"/>
          <w:szCs w:val="21"/>
        </w:rPr>
      </w:pPr>
      <w:r>
        <w:rPr>
          <w:rFonts w:hint="eastAsia"/>
          <w:b/>
          <w:bCs/>
          <w:sz w:val="21"/>
          <w:szCs w:val="21"/>
          <w:lang w:val="en-US" w:eastAsia="zh-CN"/>
        </w:rPr>
        <w:t xml:space="preserve">第八条 </w:t>
      </w:r>
      <w:r>
        <w:rPr>
          <w:rFonts w:hint="eastAsia"/>
          <w:b/>
          <w:bCs/>
          <w:sz w:val="21"/>
          <w:szCs w:val="21"/>
        </w:rPr>
        <w:t>公司披露框架协议或意向性协议时，应当列示公司最近三年披露的框架性协议或意向性协议的主要内容、截至目前的执行情况、是否和预期存在差异，如果存在重大差异，应披露无后续进展或未达预期的具体情况及原因。</w:t>
      </w:r>
    </w:p>
    <w:p>
      <w:pPr>
        <w:spacing w:line="360" w:lineRule="auto"/>
        <w:ind w:firstLine="422" w:firstLineChars="200"/>
        <w:rPr>
          <w:rFonts w:hint="default"/>
          <w:b/>
          <w:bCs/>
          <w:sz w:val="21"/>
          <w:szCs w:val="21"/>
        </w:rPr>
      </w:pPr>
      <w:r>
        <w:rPr>
          <w:rFonts w:hint="default"/>
          <w:b/>
          <w:bCs/>
          <w:sz w:val="21"/>
          <w:szCs w:val="21"/>
        </w:rPr>
        <w:t>公司披露框架协议或意向性协议时，应当同时披露协议签订前三个月内</w:t>
      </w:r>
      <w:r>
        <w:rPr>
          <w:rFonts w:hint="default"/>
          <w:b/>
          <w:bCs/>
          <w:sz w:val="21"/>
          <w:szCs w:val="21"/>
          <w:lang w:eastAsia="zh-CN"/>
        </w:rPr>
        <w:t>公司</w:t>
      </w:r>
      <w:r>
        <w:rPr>
          <w:rFonts w:hint="default"/>
          <w:b/>
          <w:bCs/>
          <w:sz w:val="21"/>
          <w:szCs w:val="21"/>
        </w:rPr>
        <w:t>控股股东、持股5%以上股东、董监高持股变动情况，以及未来三个月内</w:t>
      </w:r>
      <w:r>
        <w:rPr>
          <w:rFonts w:hint="default"/>
          <w:b/>
          <w:bCs/>
          <w:sz w:val="21"/>
          <w:szCs w:val="21"/>
          <w:lang w:eastAsia="zh-CN"/>
        </w:rPr>
        <w:t>公司</w:t>
      </w:r>
      <w:r>
        <w:rPr>
          <w:rFonts w:hint="default"/>
          <w:b/>
          <w:bCs/>
          <w:sz w:val="21"/>
          <w:szCs w:val="21"/>
        </w:rPr>
        <w:t>控股股东、持股5%以上股东、董监高所持限售股份解除限售及股份减持的计划。</w:t>
      </w:r>
    </w:p>
    <w:p>
      <w:pPr>
        <w:spacing w:line="360" w:lineRule="auto"/>
        <w:ind w:firstLine="422" w:firstLineChars="200"/>
        <w:rPr>
          <w:rFonts w:hint="eastAsia"/>
          <w:b/>
          <w:bCs/>
          <w:sz w:val="21"/>
          <w:szCs w:val="21"/>
          <w:lang w:eastAsia="zh-CN"/>
        </w:rPr>
      </w:pPr>
      <w:r>
        <w:rPr>
          <w:rFonts w:hint="eastAsia"/>
          <w:b/>
          <w:bCs/>
          <w:sz w:val="21"/>
          <w:szCs w:val="21"/>
          <w:lang w:val="en-US" w:eastAsia="zh-CN"/>
        </w:rPr>
        <w:t xml:space="preserve">第九条 </w:t>
      </w:r>
      <w:r>
        <w:rPr>
          <w:rFonts w:hint="eastAsia"/>
          <w:b/>
          <w:bCs/>
          <w:sz w:val="21"/>
          <w:szCs w:val="21"/>
        </w:rPr>
        <w:t>已按照</w:t>
      </w:r>
      <w:r>
        <w:rPr>
          <w:rFonts w:hint="eastAsia"/>
          <w:b/>
          <w:bCs/>
          <w:sz w:val="21"/>
          <w:szCs w:val="21"/>
          <w:lang w:val="en-US" w:eastAsia="zh-CN"/>
        </w:rPr>
        <w:t>本制度第三条</w:t>
      </w:r>
      <w:r>
        <w:rPr>
          <w:rFonts w:hint="eastAsia"/>
          <w:b/>
          <w:bCs/>
          <w:sz w:val="21"/>
          <w:szCs w:val="21"/>
        </w:rPr>
        <w:t>披露日常交易相关合同的，公司应当关注合同履行进展，与合同约定出现重大差异且影</w:t>
      </w:r>
      <w:r>
        <w:rPr>
          <w:rFonts w:hint="default"/>
          <w:b/>
          <w:bCs/>
          <w:sz w:val="21"/>
          <w:szCs w:val="21"/>
        </w:rPr>
        <w:t>响合同金额30%以上的</w:t>
      </w:r>
      <w:r>
        <w:rPr>
          <w:rFonts w:hint="eastAsia"/>
          <w:b/>
          <w:bCs/>
          <w:sz w:val="21"/>
          <w:szCs w:val="21"/>
        </w:rPr>
        <w:t>，应当及时披露并说明原因</w:t>
      </w:r>
      <w:r>
        <w:rPr>
          <w:rFonts w:hint="eastAsia"/>
          <w:b/>
          <w:bCs/>
          <w:sz w:val="21"/>
          <w:szCs w:val="21"/>
          <w:lang w:eastAsia="zh-CN"/>
        </w:rPr>
        <w:t>。</w:t>
      </w:r>
    </w:p>
    <w:p>
      <w:pPr>
        <w:spacing w:line="360" w:lineRule="auto"/>
        <w:ind w:firstLine="422" w:firstLineChars="200"/>
        <w:rPr>
          <w:rFonts w:hint="eastAsia"/>
          <w:b/>
          <w:bCs/>
          <w:sz w:val="21"/>
          <w:szCs w:val="21"/>
        </w:rPr>
      </w:pPr>
      <w:r>
        <w:rPr>
          <w:rFonts w:hint="eastAsia"/>
          <w:b/>
          <w:bCs/>
          <w:sz w:val="21"/>
          <w:szCs w:val="21"/>
        </w:rPr>
        <w:t>第十条 公司签订重大合同应当做好信息保密工作，并及时登记内幕信息知情人名单。</w:t>
      </w:r>
      <w:r>
        <w:rPr>
          <w:rFonts w:hint="eastAsia"/>
          <w:b/>
          <w:bCs/>
          <w:sz w:val="21"/>
          <w:szCs w:val="21"/>
          <w:lang w:val="en-US" w:eastAsia="zh-CN"/>
        </w:rPr>
        <w:t>若股价出现异动的，应及时对内幕信息知情人及其</w:t>
      </w:r>
      <w:r>
        <w:rPr>
          <w:rFonts w:hint="eastAsia"/>
          <w:b/>
          <w:bCs/>
          <w:sz w:val="21"/>
          <w:szCs w:val="21"/>
        </w:rPr>
        <w:t>近亲属从知悉该事项至重大合同公告前买卖公司股票及其衍生品种的</w:t>
      </w:r>
      <w:r>
        <w:rPr>
          <w:rFonts w:hint="eastAsia"/>
          <w:b/>
          <w:bCs/>
          <w:sz w:val="21"/>
          <w:szCs w:val="21"/>
          <w:lang w:val="en-US" w:eastAsia="zh-CN"/>
        </w:rPr>
        <w:t>情况进行</w:t>
      </w:r>
      <w:r>
        <w:rPr>
          <w:rFonts w:hint="eastAsia"/>
          <w:b/>
          <w:bCs/>
          <w:sz w:val="21"/>
          <w:szCs w:val="21"/>
        </w:rPr>
        <w:t>自查</w:t>
      </w:r>
      <w:r>
        <w:rPr>
          <w:rFonts w:hint="eastAsia"/>
          <w:b/>
          <w:bCs/>
          <w:sz w:val="21"/>
          <w:szCs w:val="21"/>
          <w:lang w:eastAsia="zh-CN"/>
        </w:rPr>
        <w:t>，</w:t>
      </w:r>
      <w:r>
        <w:rPr>
          <w:rFonts w:hint="eastAsia"/>
          <w:b/>
          <w:bCs/>
          <w:sz w:val="21"/>
          <w:szCs w:val="21"/>
          <w:lang w:val="en-US" w:eastAsia="zh-CN"/>
        </w:rPr>
        <w:t>必要时向深交所报送内幕信息知情人名单和自查结果</w:t>
      </w:r>
      <w:r>
        <w:rPr>
          <w:rFonts w:hint="eastAsia"/>
          <w:b/>
          <w:bCs/>
          <w:sz w:val="21"/>
          <w:szCs w:val="21"/>
          <w:lang w:eastAsia="zh-CN"/>
        </w:rPr>
        <w:t>。</w:t>
      </w:r>
    </w:p>
    <w:p>
      <w:pPr>
        <w:autoSpaceDE w:val="0"/>
        <w:autoSpaceDN w:val="0"/>
        <w:adjustRightInd w:val="0"/>
        <w:spacing w:line="360" w:lineRule="auto"/>
        <w:ind w:firstLine="420" w:firstLineChars="200"/>
        <w:jc w:val="left"/>
        <w:rPr>
          <w:rFonts w:hint="eastAsia"/>
          <w:kern w:val="0"/>
        </w:rPr>
      </w:pPr>
      <w:r>
        <w:rPr>
          <w:rFonts w:hint="eastAsia"/>
        </w:rPr>
        <w:t>第十</w:t>
      </w:r>
      <w:r>
        <w:rPr>
          <w:rFonts w:hint="eastAsia"/>
          <w:lang w:val="en-US" w:eastAsia="zh-CN"/>
        </w:rPr>
        <w:t>一</w:t>
      </w:r>
      <w:r>
        <w:rPr>
          <w:rFonts w:hint="eastAsia"/>
        </w:rPr>
        <w:t xml:space="preserve">条 </w:t>
      </w:r>
      <w:r>
        <w:rPr>
          <w:rFonts w:hint="eastAsia"/>
          <w:kern w:val="0"/>
        </w:rPr>
        <w:t>本制度所称“以上”含本数；“超过”不含本数。</w:t>
      </w:r>
    </w:p>
    <w:p>
      <w:pPr>
        <w:spacing w:line="360" w:lineRule="auto"/>
        <w:ind w:firstLine="420" w:firstLineChars="200"/>
      </w:pPr>
      <w:r>
        <w:rPr>
          <w:kern w:val="0"/>
        </w:rPr>
        <w:t>第</w:t>
      </w:r>
      <w:r>
        <w:rPr>
          <w:rFonts w:hint="eastAsia"/>
          <w:kern w:val="0"/>
        </w:rPr>
        <w:t>十</w:t>
      </w:r>
      <w:r>
        <w:rPr>
          <w:rFonts w:hint="eastAsia"/>
          <w:kern w:val="0"/>
          <w:lang w:val="en-US" w:eastAsia="zh-CN"/>
        </w:rPr>
        <w:t>二</w:t>
      </w:r>
      <w:r>
        <w:rPr>
          <w:kern w:val="0"/>
        </w:rPr>
        <w:t xml:space="preserve">条 </w:t>
      </w:r>
      <w:r>
        <w:t>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kern w:val="0"/>
        </w:rPr>
        <w:t>修订和解释</w:t>
      </w:r>
      <w:r>
        <w:t>。</w:t>
      </w:r>
    </w:p>
    <w:p>
      <w:pPr>
        <w:spacing w:line="360" w:lineRule="auto"/>
        <w:ind w:firstLine="420" w:firstLineChars="200"/>
      </w:pPr>
    </w:p>
    <w:p>
      <w:pPr>
        <w:spacing w:line="360" w:lineRule="auto"/>
        <w:ind w:firstLine="420" w:firstLineChars="200"/>
        <w:jc w:val="right"/>
      </w:pPr>
      <w:r>
        <w:t>融捷股份有限公司</w:t>
      </w:r>
    </w:p>
    <w:p>
      <w:pPr>
        <w:spacing w:line="360" w:lineRule="auto"/>
        <w:jc w:val="right"/>
      </w:pPr>
      <w:r>
        <w:t>20</w:t>
      </w:r>
      <w:r>
        <w:rPr>
          <w:rFonts w:hint="eastAsia"/>
        </w:rPr>
        <w:t>2</w:t>
      </w:r>
      <w:r>
        <w:rPr>
          <w:rFonts w:hint="eastAsia"/>
          <w:lang w:val="en-US" w:eastAsia="zh-CN"/>
        </w:rPr>
        <w:t>2</w:t>
      </w:r>
      <w:r>
        <w:t>年</w:t>
      </w:r>
      <w:r>
        <w:rPr>
          <w:rFonts w:hint="eastAsia"/>
          <w:lang w:val="en-US" w:eastAsia="zh-CN"/>
        </w:rPr>
        <w:t>10</w:t>
      </w:r>
      <w:r>
        <w:rPr>
          <w:rFonts w:hint="eastAsia"/>
        </w:rPr>
        <w:t>月</w:t>
      </w:r>
      <w:r>
        <w:rPr>
          <w:rFonts w:hint="eastAsia"/>
          <w:lang w:val="en-US" w:eastAsia="zh-CN"/>
        </w:rPr>
        <w:t>21</w:t>
      </w:r>
      <w:r>
        <w:rPr>
          <w:rFonts w:hint="eastAsia"/>
        </w:rPr>
        <w:t>日</w:t>
      </w:r>
    </w:p>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00000000"/>
    <w:rsid w:val="01CC3369"/>
    <w:rsid w:val="15064E2D"/>
    <w:rsid w:val="3A9239C8"/>
    <w:rsid w:val="5E28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目录标题"/>
    <w:basedOn w:val="2"/>
    <w:next w:val="1"/>
    <w:qFormat/>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2022-09-22T06:02:00Z</dcterms:created>
  <dc:creator>Administrator</dc:creator>
  <cp:lastModifiedBy>Ren</cp:lastModifiedBy>
  <dcterms:modified xsi:type="dcterms:W3CDTF">2022-10-21T07:09:53Z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111E74F1953A4B6289A9CC5107A56818</vt:lpwstr>
  </property>
</Properties>
</file>